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5678A3">
      <w:pPr>
        <w:pStyle w:val="34"/>
        <w:jc w:val="both"/>
        <w:rPr>
          <w:sz w:val="36"/>
          <w:szCs w:val="36"/>
        </w:rPr>
      </w:pPr>
      <w:r>
        <w:rPr>
          <w:sz w:val="36"/>
          <w:szCs w:val="36"/>
        </w:rPr>
        <w:t>AIKO Installer Community (AIC) – Terms and Conditions</w:t>
      </w:r>
    </w:p>
    <w:p w14:paraId="425EF89B">
      <w:pPr>
        <w:pStyle w:val="3"/>
        <w:numPr>
          <w:ilvl w:val="0"/>
          <w:numId w:val="7"/>
        </w:numPr>
        <w:jc w:val="both"/>
      </w:pPr>
      <w:r>
        <w:t>Scope</w:t>
      </w:r>
    </w:p>
    <w:p w14:paraId="507421A8">
      <w:pPr>
        <w:jc w:val="both"/>
      </w:pPr>
    </w:p>
    <w:p w14:paraId="123C1196">
      <w:pPr>
        <w:pStyle w:val="150"/>
        <w:widowControl w:val="0"/>
        <w:numPr>
          <w:ilvl w:val="1"/>
          <w:numId w:val="8"/>
        </w:numPr>
        <w:spacing w:after="0" w:line="240" w:lineRule="auto"/>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 xml:space="preserve">These terms and conditions (“T&amp;C) apply to European photovoltaic installers (“Installers”; as described in section 2.3. below) that participate in the </w:t>
      </w:r>
      <w:r>
        <w:rPr>
          <w:rFonts w:hint="eastAsia" w:eastAsia="宋体"/>
          <w:bCs/>
          <w:color w:val="000000" w:themeColor="text1"/>
          <w:szCs w:val="21"/>
          <w:lang w:eastAsia="zh-CN"/>
          <w14:textFill>
            <w14:solidFill>
              <w14:schemeClr w14:val="tx1"/>
            </w14:solidFill>
          </w14:textFill>
        </w:rPr>
        <w:t>AIKO</w:t>
      </w:r>
      <w:r>
        <w:rPr>
          <w:rFonts w:eastAsiaTheme="minorHAnsi"/>
          <w:bCs/>
          <w:color w:val="000000" w:themeColor="text1"/>
          <w:szCs w:val="21"/>
          <w14:textFill>
            <w14:solidFill>
              <w14:schemeClr w14:val="tx1"/>
            </w14:solidFill>
          </w14:textFill>
        </w:rPr>
        <w:t xml:space="preserve"> Installer Community (“AIC”; as described in section 2.1. below) program that is organized by </w:t>
      </w:r>
      <w:r>
        <w:t>AIKO Energy Germany GmbH ("AIKO").</w:t>
      </w:r>
    </w:p>
    <w:p w14:paraId="257B5C05">
      <w:pPr>
        <w:pStyle w:val="150"/>
        <w:widowControl w:val="0"/>
        <w:numPr>
          <w:ilvl w:val="1"/>
          <w:numId w:val="8"/>
        </w:numPr>
        <w:spacing w:after="0" w:line="240" w:lineRule="auto"/>
        <w:jc w:val="both"/>
        <w:rPr>
          <w:rFonts w:eastAsiaTheme="minorHAnsi"/>
          <w:bCs/>
          <w:color w:val="000000" w:themeColor="text1"/>
          <w:szCs w:val="21"/>
          <w14:textFill>
            <w14:solidFill>
              <w14:schemeClr w14:val="tx1"/>
            </w14:solidFill>
          </w14:textFill>
        </w:rPr>
      </w:pPr>
      <w:r>
        <w:rPr>
          <w:rFonts w:eastAsiaTheme="minorHAnsi"/>
          <w:color w:val="000000" w:themeColor="text1"/>
          <w14:textFill>
            <w14:solidFill>
              <w14:schemeClr w14:val="tx1"/>
            </w14:solidFill>
          </w14:textFill>
        </w:rPr>
        <w:t>By entering the AIC program each participant (“Participant”) accepts these T&amp;C together with any specific instructions and terms related to the program which may be mentioned in any electronic messages, or on the website, or communicated in any other way (“AIC Information”). Such AIC Information shall prevail in the event of there being any inconsistency between these terms and conditions and any AIC information.</w:t>
      </w:r>
    </w:p>
    <w:p w14:paraId="0885EBF5">
      <w:pPr>
        <w:pStyle w:val="150"/>
        <w:widowControl w:val="0"/>
        <w:numPr>
          <w:ilvl w:val="1"/>
          <w:numId w:val="8"/>
        </w:numPr>
        <w:spacing w:after="0" w:line="240" w:lineRule="auto"/>
        <w:contextualSpacing w:val="0"/>
        <w:jc w:val="both"/>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 xml:space="preserve">The AIC program starts on 01 </w:t>
      </w:r>
      <w:r>
        <w:rPr>
          <w:rFonts w:hint="eastAsia" w:eastAsia="宋体"/>
          <w:color w:val="000000" w:themeColor="text1"/>
          <w:lang w:val="en-US" w:eastAsia="zh-CN"/>
          <w14:textFill>
            <w14:solidFill>
              <w14:schemeClr w14:val="tx1"/>
            </w14:solidFill>
          </w14:textFill>
        </w:rPr>
        <w:t>May</w:t>
      </w:r>
      <w:r>
        <w:rPr>
          <w:rFonts w:eastAsiaTheme="minorHAnsi"/>
          <w:color w:val="000000" w:themeColor="text1"/>
          <w14:textFill>
            <w14:solidFill>
              <w14:schemeClr w14:val="tx1"/>
            </w14:solidFill>
          </w14:textFill>
        </w:rPr>
        <w:t xml:space="preserve"> 202</w:t>
      </w:r>
      <w:r>
        <w:rPr>
          <w:rFonts w:hint="eastAsia" w:eastAsia="宋体"/>
          <w:color w:val="000000" w:themeColor="text1"/>
          <w:lang w:val="en-US" w:eastAsia="zh-CN"/>
          <w14:textFill>
            <w14:solidFill>
              <w14:schemeClr w14:val="tx1"/>
            </w14:solidFill>
          </w14:textFill>
        </w:rPr>
        <w:t>4</w:t>
      </w:r>
      <w:r>
        <w:rPr>
          <w:rFonts w:eastAsiaTheme="minorHAnsi"/>
          <w:color w:val="000000" w:themeColor="text1"/>
          <w14:textFill>
            <w14:solidFill>
              <w14:schemeClr w14:val="tx1"/>
            </w14:solidFill>
          </w14:textFill>
        </w:rPr>
        <w:t xml:space="preserve"> and lasts indefinitely. AIKO reserves the right to amend, suspend, or terminate the program, these T&amp;C, or any AIC-related information at any time without prior notice.</w:t>
      </w:r>
      <w:r>
        <w:rPr>
          <w:rFonts w:hint="eastAsia" w:eastAsiaTheme="minorHAnsi"/>
          <w:color w:val="000000" w:themeColor="text1"/>
          <w:lang w:val="en-US" w:eastAsia="zh-CN"/>
          <w14:textFill>
            <w14:solidFill>
              <w14:schemeClr w14:val="tx1"/>
            </w14:solidFill>
          </w14:textFill>
        </w:rPr>
        <w:t xml:space="preserve"> </w:t>
      </w:r>
      <w:r>
        <w:rPr>
          <w:rFonts w:eastAsiaTheme="minorHAnsi"/>
          <w:color w:val="000000" w:themeColor="text1"/>
          <w14:textFill>
            <w14:solidFill>
              <w14:schemeClr w14:val="tx1"/>
            </w14:solidFill>
          </w14:textFill>
        </w:rPr>
        <w:t>Relevant changes will be published simultaneously within these T&amp;C and on official AIC communication channels, including social media and the AIC website (https://aikosolar.com/en/installer-community). The AIC program is operated in accordance with applicable EU consumer protection and data protection regulations, including the General Data Protection Regulation (GDPR). Localized versions of these T&amp;C will be made available in the official languages of each market where AIKO operates.</w:t>
      </w:r>
    </w:p>
    <w:p w14:paraId="2CC2ECA1">
      <w:pPr>
        <w:pStyle w:val="3"/>
        <w:numPr>
          <w:ilvl w:val="0"/>
          <w:numId w:val="8"/>
        </w:numPr>
        <w:jc w:val="both"/>
      </w:pPr>
      <w:r>
        <w:t>Definitions</w:t>
      </w:r>
    </w:p>
    <w:p w14:paraId="4CFCA0AC">
      <w:pPr>
        <w:jc w:val="both"/>
      </w:pPr>
    </w:p>
    <w:p w14:paraId="12ACCB91">
      <w:pPr>
        <w:pStyle w:val="150"/>
        <w:numPr>
          <w:ilvl w:val="1"/>
          <w:numId w:val="8"/>
        </w:numPr>
        <w:jc w:val="both"/>
      </w:pPr>
      <w:r>
        <w:rPr>
          <w:rFonts w:hint="eastAsia" w:eastAsia="宋体"/>
          <w:lang w:eastAsia="zh-CN"/>
        </w:rPr>
        <w:t>AIKO</w:t>
      </w:r>
      <w:r>
        <w:t xml:space="preserve"> Installer Community: long-term project by </w:t>
      </w:r>
      <w:r>
        <w:rPr>
          <w:rFonts w:hint="eastAsia" w:eastAsia="宋体"/>
          <w:lang w:eastAsia="zh-CN"/>
        </w:rPr>
        <w:t>AIKO</w:t>
      </w:r>
      <w:r>
        <w:t xml:space="preserve"> Energy Germany GmbH for installers (see 2.3.) within the European Economic Area (“EEA”) that wish to participate and redeem gifts from their respective accumulated points (see 2.2.). </w:t>
      </w:r>
    </w:p>
    <w:p w14:paraId="0A0A2E6E">
      <w:pPr>
        <w:pStyle w:val="150"/>
        <w:numPr>
          <w:ilvl w:val="1"/>
          <w:numId w:val="8"/>
        </w:numPr>
        <w:jc w:val="both"/>
      </w:pPr>
      <w:r>
        <w:t>Points: Virtual units awarded to registered installers upon verified submission of eligible activities (e.g., invoice upload, certification). Points can be redeemed for gifts on the AIC platform.</w:t>
      </w:r>
    </w:p>
    <w:p w14:paraId="43A3E0A4">
      <w:pPr>
        <w:pStyle w:val="150"/>
        <w:numPr>
          <w:ilvl w:val="1"/>
          <w:numId w:val="8"/>
        </w:numPr>
        <w:jc w:val="both"/>
      </w:pPr>
      <w:r>
        <w:t>Installer: A legally registered solar installation company in the EEA that purchases and installs AIKO modules from authorized distributors and registers on the AIC platform (“Company Account”) as well as the said company’s employees (“Employee Account”).</w:t>
      </w:r>
    </w:p>
    <w:p w14:paraId="00EDD3A4">
      <w:pPr>
        <w:pStyle w:val="150"/>
        <w:numPr>
          <w:ilvl w:val="1"/>
          <w:numId w:val="8"/>
        </w:numPr>
        <w:jc w:val="both"/>
      </w:pPr>
      <w:r>
        <w:t>Participant: any eligible company and/or private person participating in the AIC program.</w:t>
      </w:r>
    </w:p>
    <w:p w14:paraId="3EDCE8CF">
      <w:pPr>
        <w:pStyle w:val="150"/>
        <w:numPr>
          <w:ilvl w:val="1"/>
          <w:numId w:val="8"/>
        </w:numPr>
        <w:jc w:val="both"/>
      </w:pPr>
      <w:r>
        <w:t>Gift: Physical goods or services made available in the AIC redemption platform (e.g., electronics, tools, vouchers, travel packages).</w:t>
      </w:r>
    </w:p>
    <w:p w14:paraId="3BDC29D0">
      <w:pPr>
        <w:pStyle w:val="150"/>
        <w:numPr>
          <w:ilvl w:val="1"/>
          <w:numId w:val="8"/>
        </w:numPr>
        <w:jc w:val="both"/>
      </w:pPr>
      <w:r>
        <w:t>Company Account: An account linked to a VAT number that holds Points and administrative rights for Gift redemptions.</w:t>
      </w:r>
    </w:p>
    <w:p w14:paraId="083CE2FD">
      <w:pPr>
        <w:pStyle w:val="3"/>
        <w:jc w:val="both"/>
      </w:pPr>
      <w:r>
        <w:t>3. Registration and Participation</w:t>
      </w:r>
    </w:p>
    <w:p w14:paraId="22DCAFE5">
      <w:pPr>
        <w:jc w:val="both"/>
      </w:pPr>
    </w:p>
    <w:p w14:paraId="0754AF93">
      <w:pPr>
        <w:pStyle w:val="150"/>
        <w:numPr>
          <w:ilvl w:val="1"/>
          <w:numId w:val="9"/>
        </w:numPr>
        <w:spacing w:after="0" w:line="240" w:lineRule="auto"/>
        <w:jc w:val="both"/>
        <w:textAlignment w:val="baseline"/>
        <w:rPr>
          <w:rFonts w:eastAsiaTheme="minorHAnsi"/>
          <w:color w:val="000000" w:themeColor="text1"/>
          <w14:textFill>
            <w14:solidFill>
              <w14:schemeClr w14:val="tx1"/>
            </w14:solidFill>
          </w14:textFill>
        </w:rPr>
      </w:pPr>
      <w:r>
        <w:t>Only Installers that both purchase and directly install AIKO products for end customers are eligible. Middlemen or resellers without actual installation responsibilities are excluded from the program.</w:t>
      </w:r>
    </w:p>
    <w:p w14:paraId="56E04389">
      <w:pPr>
        <w:pStyle w:val="150"/>
        <w:numPr>
          <w:ilvl w:val="1"/>
          <w:numId w:val="9"/>
        </w:numPr>
        <w:jc w:val="both"/>
      </w:pPr>
      <w:r>
        <w:t xml:space="preserve">Each company is identified by a unique VAT number. The first registrant is designated as the Company Administrator and holds the right to redeem Points for a Company Account. Administrators may assign admin rights to other employees within the same VAT entity. Multiple individuals from the same company may participate, but only one company account is permitted per VAT number. </w:t>
      </w:r>
    </w:p>
    <w:p w14:paraId="748BD441">
      <w:pPr>
        <w:pStyle w:val="150"/>
        <w:jc w:val="both"/>
      </w:pPr>
      <w:r>
        <w:t>Employees need to provide their company’s name and VAT number, their address as well as email-address and contact phone number in order to register for an Employee Account.</w:t>
      </w:r>
    </w:p>
    <w:p w14:paraId="335ABAA0">
      <w:pPr>
        <w:pStyle w:val="150"/>
        <w:numPr>
          <w:ilvl w:val="1"/>
          <w:numId w:val="9"/>
        </w:numPr>
        <w:spacing w:after="0" w:line="240" w:lineRule="auto"/>
        <w:jc w:val="both"/>
        <w:textAlignment w:val="baseline"/>
        <w:rPr>
          <w:rFonts w:eastAsiaTheme="minorHAnsi"/>
          <w:color w:val="000000" w:themeColor="text1"/>
          <w14:textFill>
            <w14:solidFill>
              <w14:schemeClr w14:val="tx1"/>
            </w14:solidFill>
          </w14:textFill>
        </w:rPr>
      </w:pPr>
      <w:r>
        <w:rPr>
          <w:rFonts w:eastAsiaTheme="minorHAnsi"/>
        </w:rPr>
        <w:t xml:space="preserve">AIKO will send a notification email to the Participants after their successful registration via their given </w:t>
      </w:r>
      <w:r>
        <w:rPr>
          <w:rFonts w:hint="eastAsia" w:eastAsiaTheme="minorHAnsi"/>
          <w:lang w:eastAsia="zh-CN"/>
        </w:rPr>
        <w:t>email</w:t>
      </w:r>
      <w:r>
        <w:rPr>
          <w:rFonts w:eastAsiaTheme="minorHAnsi"/>
          <w:lang w:eastAsia="zh-CN"/>
        </w:rPr>
        <w:t xml:space="preserve"> address. </w:t>
      </w:r>
      <w:r>
        <w:rPr>
          <w:rFonts w:eastAsiaTheme="minorHAnsi"/>
        </w:rPr>
        <w:t>If AIKO is unable to notify, and such is attributable to the Participant (e.g. wrongful or missing contact details), this may result in forfeiture of the Gift, without any further title for the Participant</w:t>
      </w:r>
      <w:r>
        <w:rPr>
          <w:rFonts w:eastAsiaTheme="minorHAnsi"/>
          <w:color w:val="EE0000"/>
        </w:rPr>
        <w:t>.</w:t>
      </w:r>
    </w:p>
    <w:p w14:paraId="3AB64D17">
      <w:pPr>
        <w:pStyle w:val="150"/>
        <w:numPr>
          <w:ilvl w:val="1"/>
          <w:numId w:val="9"/>
        </w:numPr>
        <w:spacing w:after="0" w:line="240" w:lineRule="auto"/>
        <w:contextualSpacing w:val="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AIKO may in its sole discretion refuse to provide a Gift, or seek its recovery, in the event of non-entitlement under these terms or a Participant’s breach of these T&amp;C, AIKO website terms of use, fraud, dishonesty, or other inappropriate or improper conduct including but not limited to the use of technology which enables an entrant to evade charges or entry requirements.</w:t>
      </w:r>
    </w:p>
    <w:p w14:paraId="7EB83156">
      <w:pPr>
        <w:pStyle w:val="150"/>
        <w:numPr>
          <w:ilvl w:val="1"/>
          <w:numId w:val="9"/>
        </w:numPr>
        <w:spacing w:after="0" w:line="240" w:lineRule="auto"/>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 xml:space="preserve">Any Participant who enters or attempts to enter the AIC program in a manner, which in AIKO’s determination, is contrary to these terms and conditions or by its nature is unfair to other entrants may be removed from the Competition at AIKO’s sole discretion. </w:t>
      </w:r>
      <w:r>
        <w:t>Confirmed violations will result in Point cancellation and permanent suspension. AIKO reserves the right to pursue legal action against fraudulent behavior.</w:t>
      </w:r>
    </w:p>
    <w:p w14:paraId="7B49A31B">
      <w:pPr>
        <w:pStyle w:val="150"/>
        <w:numPr>
          <w:ilvl w:val="1"/>
          <w:numId w:val="9"/>
        </w:numPr>
        <w:spacing w:after="0" w:line="240" w:lineRule="auto"/>
        <w:contextualSpacing w:val="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AIKO reserves the right to modify, cancel, terminate or suspend the AIC program in whole or in part, at its sole discretion, in cases of force majeure and/or if it believes the Competition is not capable of being conducted as specified in these T&amp;C or in the event of a virus, computer bug or unauthorized human intervention or any other cause that is beyond the reasonable control of AIKO that could corrupt or affect the administration, security, impartiality, or normal course of the Competition.</w:t>
      </w:r>
    </w:p>
    <w:p w14:paraId="53032E2E">
      <w:pPr>
        <w:pStyle w:val="150"/>
        <w:numPr>
          <w:ilvl w:val="1"/>
          <w:numId w:val="9"/>
        </w:numPr>
        <w:spacing w:after="0" w:line="240" w:lineRule="auto"/>
        <w:contextualSpacing w:val="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AIKO reserves the right, in its sole discretion, to withhold delivery of the Gift until such proof of eligibility and identity has been confirmed or if such proof is not produced on request or to disqualify the Participant from the competition.</w:t>
      </w:r>
    </w:p>
    <w:p w14:paraId="3C0F7FCA">
      <w:pPr>
        <w:pStyle w:val="150"/>
        <w:numPr>
          <w:ilvl w:val="1"/>
          <w:numId w:val="9"/>
        </w:numPr>
        <w:spacing w:after="0" w:line="240" w:lineRule="auto"/>
        <w:contextualSpacing w:val="0"/>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Gifts will only be granted as stated: there is no entitlement to payment of the Gift. If one specified Gift is not available, AIKO will provide the qualified Participant with a similar Gift of corresponding value.</w:t>
      </w:r>
    </w:p>
    <w:p w14:paraId="39A6437F">
      <w:pPr>
        <w:pStyle w:val="3"/>
        <w:jc w:val="both"/>
        <w:rPr>
          <w:rFonts w:eastAsia="宋体"/>
          <w:lang w:eastAsia="zh-CN"/>
        </w:rPr>
      </w:pPr>
      <w:r>
        <w:t>4. Points Accumulation and Validity</w:t>
      </w:r>
    </w:p>
    <w:p w14:paraId="3A78342E">
      <w:pPr>
        <w:rPr>
          <w:rFonts w:eastAsia="宋体"/>
          <w:lang w:eastAsia="zh-CN"/>
        </w:rPr>
      </w:pPr>
    </w:p>
    <w:p w14:paraId="2F2481F4">
      <w:pPr>
        <w:pStyle w:val="32"/>
        <w:keepNext w:val="0"/>
        <w:keepLines w:val="0"/>
        <w:widowControl/>
        <w:suppressLineNumbers w:val="0"/>
        <w:rPr>
          <w:sz w:val="22"/>
          <w:szCs w:val="22"/>
        </w:rPr>
      </w:pPr>
      <w:r>
        <w:rPr>
          <w:sz w:val="22"/>
          <w:szCs w:val="22"/>
        </w:rPr>
        <w:t>4.1 Installers may earn points through verified AIKO product installations and other eligible activities as defined by AIKO.</w:t>
      </w:r>
    </w:p>
    <w:p w14:paraId="218A16AC">
      <w:pPr>
        <w:pStyle w:val="32"/>
        <w:keepNext w:val="0"/>
        <w:keepLines w:val="0"/>
        <w:widowControl/>
        <w:suppressLineNumbers w:val="0"/>
        <w:rPr>
          <w:sz w:val="22"/>
          <w:szCs w:val="22"/>
        </w:rPr>
      </w:pPr>
      <w:r>
        <w:rPr>
          <w:rStyle w:val="137"/>
          <w:sz w:val="22"/>
          <w:szCs w:val="22"/>
        </w:rPr>
        <w:t>AIKO Module Installations</w:t>
      </w:r>
      <w:r>
        <w:rPr>
          <w:sz w:val="22"/>
          <w:szCs w:val="22"/>
        </w:rPr>
        <w:t>:</w:t>
      </w:r>
    </w:p>
    <w:p w14:paraId="59147AF0">
      <w:pPr>
        <w:pStyle w:val="32"/>
        <w:keepNext w:val="0"/>
        <w:keepLines w:val="0"/>
        <w:widowControl/>
        <w:suppressLineNumbers w:val="0"/>
        <w:rPr>
          <w:sz w:val="22"/>
          <w:szCs w:val="22"/>
        </w:rPr>
      </w:pPr>
      <w:r>
        <w:rPr>
          <w:sz w:val="22"/>
          <w:szCs w:val="22"/>
        </w:rPr>
        <w:t>10 points per kW for AIKO 54/60-cell modules.</w:t>
      </w:r>
    </w:p>
    <w:p w14:paraId="22F3D766">
      <w:pPr>
        <w:pStyle w:val="32"/>
        <w:keepNext w:val="0"/>
        <w:keepLines w:val="0"/>
        <w:widowControl/>
        <w:suppressLineNumbers w:val="0"/>
        <w:rPr>
          <w:sz w:val="22"/>
          <w:szCs w:val="22"/>
        </w:rPr>
      </w:pPr>
      <w:r>
        <w:rPr>
          <w:sz w:val="22"/>
          <w:szCs w:val="22"/>
        </w:rPr>
        <w:t>5 points per kW for AIKO 66/72-cell modules.</w:t>
      </w:r>
    </w:p>
    <w:p w14:paraId="233C3C9C">
      <w:pPr>
        <w:pStyle w:val="32"/>
        <w:keepNext w:val="0"/>
        <w:keepLines w:val="0"/>
        <w:widowControl/>
        <w:suppressLineNumbers w:val="0"/>
        <w:rPr>
          <w:sz w:val="22"/>
          <w:szCs w:val="22"/>
        </w:rPr>
      </w:pPr>
      <w:r>
        <w:rPr>
          <w:rStyle w:val="137"/>
          <w:sz w:val="22"/>
          <w:szCs w:val="22"/>
        </w:rPr>
        <w:t>Certification &amp; Training</w:t>
      </w:r>
      <w:r>
        <w:rPr>
          <w:sz w:val="22"/>
          <w:szCs w:val="22"/>
        </w:rPr>
        <w:t>:</w:t>
      </w:r>
    </w:p>
    <w:p w14:paraId="7935E76D">
      <w:pPr>
        <w:pStyle w:val="32"/>
        <w:keepNext w:val="0"/>
        <w:keepLines w:val="0"/>
        <w:widowControl/>
        <w:suppressLineNumbers w:val="0"/>
        <w:rPr>
          <w:sz w:val="22"/>
          <w:szCs w:val="22"/>
        </w:rPr>
      </w:pPr>
      <w:r>
        <w:rPr>
          <w:sz w:val="22"/>
          <w:szCs w:val="22"/>
        </w:rPr>
        <w:t>500 points for passing the official AIKO certification exam.</w:t>
      </w:r>
    </w:p>
    <w:p w14:paraId="5A828FA2">
      <w:pPr>
        <w:pStyle w:val="32"/>
        <w:keepNext w:val="0"/>
        <w:keepLines w:val="0"/>
        <w:widowControl/>
        <w:suppressLineNumbers w:val="0"/>
        <w:rPr>
          <w:sz w:val="22"/>
          <w:szCs w:val="22"/>
        </w:rPr>
      </w:pPr>
      <w:r>
        <w:rPr>
          <w:sz w:val="22"/>
          <w:szCs w:val="22"/>
        </w:rPr>
        <w:t>Points for participating in AIKO webinars or attending online/offline training sessions.</w:t>
      </w:r>
    </w:p>
    <w:p w14:paraId="082A39E3">
      <w:pPr>
        <w:pStyle w:val="32"/>
        <w:keepNext w:val="0"/>
        <w:keepLines w:val="0"/>
        <w:widowControl/>
        <w:suppressLineNumbers w:val="0"/>
        <w:rPr>
          <w:sz w:val="22"/>
          <w:szCs w:val="22"/>
        </w:rPr>
      </w:pPr>
      <w:r>
        <w:rPr>
          <w:rStyle w:val="137"/>
          <w:sz w:val="22"/>
          <w:szCs w:val="22"/>
        </w:rPr>
        <w:t>Knowledge &amp; Contribution</w:t>
      </w:r>
      <w:r>
        <w:rPr>
          <w:sz w:val="22"/>
          <w:szCs w:val="22"/>
        </w:rPr>
        <w:t>:</w:t>
      </w:r>
    </w:p>
    <w:p w14:paraId="7255A1E4">
      <w:pPr>
        <w:pStyle w:val="32"/>
        <w:keepNext w:val="0"/>
        <w:keepLines w:val="0"/>
        <w:widowControl/>
        <w:suppressLineNumbers w:val="0"/>
        <w:rPr>
          <w:sz w:val="22"/>
          <w:szCs w:val="22"/>
        </w:rPr>
      </w:pPr>
      <w:r>
        <w:rPr>
          <w:sz w:val="22"/>
          <w:szCs w:val="22"/>
        </w:rPr>
        <w:t>Points for uploading valid case studies with photos/videos.</w:t>
      </w:r>
    </w:p>
    <w:p w14:paraId="72CB8922">
      <w:pPr>
        <w:pStyle w:val="32"/>
        <w:keepNext w:val="0"/>
        <w:keepLines w:val="0"/>
        <w:widowControl/>
        <w:suppressLineNumbers w:val="0"/>
        <w:rPr>
          <w:sz w:val="22"/>
          <w:szCs w:val="22"/>
        </w:rPr>
      </w:pPr>
      <w:r>
        <w:rPr>
          <w:sz w:val="22"/>
          <w:szCs w:val="22"/>
        </w:rPr>
        <w:t>Points for completing installer surveys.</w:t>
      </w:r>
    </w:p>
    <w:p w14:paraId="40B6FA96">
      <w:pPr>
        <w:pStyle w:val="32"/>
        <w:keepNext w:val="0"/>
        <w:keepLines w:val="0"/>
        <w:widowControl/>
        <w:suppressLineNumbers w:val="0"/>
        <w:rPr>
          <w:sz w:val="22"/>
          <w:szCs w:val="22"/>
        </w:rPr>
      </w:pPr>
      <w:r>
        <w:rPr>
          <w:rStyle w:val="137"/>
          <w:sz w:val="22"/>
          <w:szCs w:val="22"/>
        </w:rPr>
        <w:t>Community Engagement</w:t>
      </w:r>
      <w:r>
        <w:rPr>
          <w:sz w:val="22"/>
          <w:szCs w:val="22"/>
        </w:rPr>
        <w:t>:</w:t>
      </w:r>
    </w:p>
    <w:p w14:paraId="4A217605">
      <w:pPr>
        <w:pStyle w:val="32"/>
        <w:keepNext w:val="0"/>
        <w:keepLines w:val="0"/>
        <w:widowControl/>
        <w:suppressLineNumbers w:val="0"/>
        <w:rPr>
          <w:sz w:val="22"/>
          <w:szCs w:val="22"/>
        </w:rPr>
      </w:pPr>
      <w:r>
        <w:rPr>
          <w:sz w:val="22"/>
          <w:szCs w:val="22"/>
        </w:rPr>
        <w:t>Points for referring other installers to join AIC (upon successful verification).</w:t>
      </w:r>
    </w:p>
    <w:p w14:paraId="5148E0C7">
      <w:pPr>
        <w:pStyle w:val="32"/>
        <w:keepNext w:val="0"/>
        <w:keepLines w:val="0"/>
        <w:widowControl/>
        <w:suppressLineNumbers w:val="0"/>
        <w:rPr>
          <w:sz w:val="22"/>
          <w:szCs w:val="22"/>
        </w:rPr>
      </w:pPr>
      <w:r>
        <w:rPr>
          <w:sz w:val="22"/>
          <w:szCs w:val="22"/>
        </w:rPr>
        <w:t>Points for participating in approved local AIKO installer events.</w:t>
      </w:r>
    </w:p>
    <w:p w14:paraId="3DE052C9">
      <w:pPr>
        <w:pStyle w:val="32"/>
        <w:keepNext w:val="0"/>
        <w:keepLines w:val="0"/>
        <w:widowControl/>
        <w:suppressLineNumbers w:val="0"/>
        <w:rPr>
          <w:sz w:val="22"/>
          <w:szCs w:val="22"/>
        </w:rPr>
      </w:pPr>
      <w:r>
        <w:rPr>
          <w:sz w:val="22"/>
          <w:szCs w:val="22"/>
        </w:rPr>
        <w:t>4.2 The respective point values for each activity, unless specified above, will be published and updated on the AIC platform. AIKO reserves the right to adjust or update the list of eligible activities and their point values at any time.</w:t>
      </w:r>
    </w:p>
    <w:p w14:paraId="1A3F1264">
      <w:pPr>
        <w:pStyle w:val="150"/>
        <w:widowControl w:val="0"/>
        <w:numPr>
          <w:ilvl w:val="0"/>
          <w:numId w:val="0"/>
        </w:numPr>
        <w:spacing w:after="0" w:line="240" w:lineRule="auto"/>
        <w:ind w:leftChars="0"/>
        <w:jc w:val="both"/>
        <w:rPr>
          <w:rFonts w:eastAsiaTheme="minorHAnsi"/>
          <w:bCs/>
          <w:color w:val="000000" w:themeColor="text1"/>
          <w:sz w:val="22"/>
          <w:szCs w:val="22"/>
          <w14:textFill>
            <w14:solidFill>
              <w14:schemeClr w14:val="tx1"/>
            </w14:solidFill>
          </w14:textFill>
        </w:rPr>
      </w:pPr>
      <w:r>
        <w:rPr>
          <w:sz w:val="22"/>
          <w:szCs w:val="22"/>
        </w:rPr>
        <w:t xml:space="preserve">4.3 </w:t>
      </w:r>
      <w:r>
        <w:rPr>
          <w:rFonts w:eastAsiaTheme="minorHAnsi"/>
          <w:bCs/>
          <w:color w:val="000000" w:themeColor="text1"/>
          <w:sz w:val="22"/>
          <w:szCs w:val="22"/>
          <w14:textFill>
            <w14:solidFill>
              <w14:schemeClr w14:val="tx1"/>
            </w14:solidFill>
          </w14:textFill>
        </w:rPr>
        <w:t>Only invoices from purchases made within the past 1</w:t>
      </w:r>
      <w:r>
        <w:rPr>
          <w:rFonts w:hint="eastAsia" w:eastAsia="宋体"/>
          <w:bCs/>
          <w:color w:val="000000" w:themeColor="text1"/>
          <w:sz w:val="22"/>
          <w:szCs w:val="22"/>
          <w:lang w:val="en-US" w:eastAsia="zh-CN"/>
          <w14:textFill>
            <w14:solidFill>
              <w14:schemeClr w14:val="tx1"/>
            </w14:solidFill>
          </w14:textFill>
        </w:rPr>
        <w:t>2</w:t>
      </w:r>
      <w:r>
        <w:rPr>
          <w:rFonts w:eastAsiaTheme="minorHAnsi"/>
          <w:bCs/>
          <w:color w:val="000000" w:themeColor="text1"/>
          <w:sz w:val="22"/>
          <w:szCs w:val="22"/>
          <w14:textFill>
            <w14:solidFill>
              <w14:schemeClr w14:val="tx1"/>
            </w14:solidFill>
          </w14:textFill>
        </w:rPr>
        <w:t xml:space="preserve"> months are eligible. </w:t>
      </w:r>
      <w:r>
        <w:rPr>
          <w:sz w:val="22"/>
          <w:szCs w:val="22"/>
        </w:rPr>
        <w:t xml:space="preserve">Points are valid for </w:t>
      </w:r>
      <w:r>
        <w:rPr>
          <w:rStyle w:val="137"/>
          <w:b w:val="0"/>
          <w:bCs w:val="0"/>
          <w:sz w:val="22"/>
          <w:szCs w:val="22"/>
        </w:rPr>
        <w:t>1</w:t>
      </w:r>
      <w:r>
        <w:rPr>
          <w:rStyle w:val="137"/>
          <w:rFonts w:hint="eastAsia" w:eastAsia="宋体"/>
          <w:b w:val="0"/>
          <w:bCs w:val="0"/>
          <w:sz w:val="22"/>
          <w:szCs w:val="22"/>
          <w:lang w:val="en-US" w:eastAsia="zh-CN"/>
        </w:rPr>
        <w:t>2</w:t>
      </w:r>
      <w:r>
        <w:rPr>
          <w:rStyle w:val="137"/>
          <w:b w:val="0"/>
          <w:bCs w:val="0"/>
          <w:sz w:val="22"/>
          <w:szCs w:val="22"/>
        </w:rPr>
        <w:t xml:space="preserve"> months</w:t>
      </w:r>
      <w:r>
        <w:rPr>
          <w:b/>
          <w:bCs/>
          <w:sz w:val="22"/>
          <w:szCs w:val="22"/>
        </w:rPr>
        <w:t xml:space="preserve"> </w:t>
      </w:r>
      <w:r>
        <w:rPr>
          <w:sz w:val="22"/>
          <w:szCs w:val="22"/>
        </w:rPr>
        <w:t>from the date of issuance. Expired points will be automatically deducted from the account balance.</w:t>
      </w:r>
      <w:r>
        <w:rPr>
          <w:rFonts w:eastAsiaTheme="minorHAnsi"/>
          <w:bCs/>
          <w:color w:val="000000" w:themeColor="text1"/>
          <w:sz w:val="22"/>
          <w:szCs w:val="22"/>
          <w14:textFill>
            <w14:solidFill>
              <w14:schemeClr w14:val="tx1"/>
            </w14:solidFill>
          </w14:textFill>
        </w:rPr>
        <w:t xml:space="preserve"> Utility-scale or resale-only transactions are excluded.</w:t>
      </w:r>
    </w:p>
    <w:p w14:paraId="268C8C19">
      <w:pPr>
        <w:pStyle w:val="150"/>
        <w:widowControl w:val="0"/>
        <w:numPr>
          <w:ilvl w:val="0"/>
          <w:numId w:val="0"/>
        </w:numPr>
        <w:spacing w:after="0" w:line="240" w:lineRule="auto"/>
        <w:ind w:leftChars="0"/>
        <w:jc w:val="both"/>
        <w:rPr>
          <w:rFonts w:eastAsiaTheme="minorHAnsi"/>
          <w:bCs/>
          <w:color w:val="000000" w:themeColor="text1"/>
          <w:sz w:val="22"/>
          <w:szCs w:val="22"/>
          <w14:textFill>
            <w14:solidFill>
              <w14:schemeClr w14:val="tx1"/>
            </w14:solidFill>
          </w14:textFill>
        </w:rPr>
      </w:pPr>
    </w:p>
    <w:p w14:paraId="4680FC82">
      <w:pPr>
        <w:pStyle w:val="150"/>
        <w:widowControl w:val="0"/>
        <w:numPr>
          <w:ilvl w:val="0"/>
          <w:numId w:val="0"/>
        </w:numPr>
        <w:spacing w:after="0" w:line="240" w:lineRule="auto"/>
        <w:ind w:leftChars="0"/>
        <w:jc w:val="both"/>
        <w:rPr>
          <w:rFonts w:hint="eastAsia" w:eastAsia="宋体"/>
          <w:sz w:val="22"/>
          <w:szCs w:val="22"/>
          <w:lang w:val="en-US" w:eastAsia="zh-CN"/>
        </w:rPr>
      </w:pPr>
      <w:r>
        <w:rPr>
          <w:rFonts w:hint="eastAsia" w:eastAsia="宋体"/>
          <w:sz w:val="22"/>
          <w:szCs w:val="22"/>
          <w:lang w:val="en-US" w:eastAsia="zh-CN"/>
        </w:rPr>
        <w:t xml:space="preserve">4.4 </w:t>
      </w:r>
      <w:r>
        <w:rPr>
          <w:sz w:val="22"/>
          <w:szCs w:val="22"/>
        </w:rPr>
        <w:t>AIKO may launch promotional campaigns where points are multiplied (e.g., triple or quadruple points). Such campaigns will be announced via official AIC Information. Points earned during such campaigns follow the same validity rules as standard points.</w:t>
      </w:r>
    </w:p>
    <w:p w14:paraId="1C8DAEC7">
      <w:pPr>
        <w:pStyle w:val="3"/>
        <w:jc w:val="both"/>
        <w:rPr>
          <w:rFonts w:eastAsia="宋体"/>
          <w:lang w:eastAsia="zh-CN"/>
        </w:rPr>
      </w:pPr>
      <w:r>
        <w:t>5. Gift Redemption</w:t>
      </w:r>
    </w:p>
    <w:p w14:paraId="0276C4D7">
      <w:pPr>
        <w:rPr>
          <w:rFonts w:eastAsia="宋体"/>
          <w:lang w:eastAsia="zh-CN"/>
        </w:rPr>
      </w:pPr>
    </w:p>
    <w:p w14:paraId="5804DFBD">
      <w:pPr>
        <w:pStyle w:val="150"/>
        <w:widowControl w:val="0"/>
        <w:numPr>
          <w:ilvl w:val="0"/>
          <w:numId w:val="10"/>
        </w:numPr>
        <w:spacing w:after="0" w:line="240" w:lineRule="auto"/>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Installers may redeem their accumulated points for gifts listed on the AIC redemption platform. Both Company Points and Employee Points may be used to redeem gifts.</w:t>
      </w:r>
    </w:p>
    <w:p w14:paraId="4E084B99">
      <w:pPr>
        <w:pStyle w:val="150"/>
        <w:widowControl w:val="0"/>
        <w:numPr>
          <w:ilvl w:val="0"/>
          <w:numId w:val="10"/>
        </w:numPr>
        <w:spacing w:after="0" w:line="240" w:lineRule="auto"/>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Gift options may include, but are not limited to:</w:t>
      </w:r>
    </w:p>
    <w:p w14:paraId="2F4902AD">
      <w:pPr>
        <w:pStyle w:val="150"/>
        <w:widowControl w:val="0"/>
        <w:spacing w:after="0" w:line="240" w:lineRule="auto"/>
        <w:ind w:left="44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AIKO modules;</w:t>
      </w:r>
    </w:p>
    <w:p w14:paraId="1EF87560">
      <w:pPr>
        <w:pStyle w:val="150"/>
        <w:widowControl w:val="0"/>
        <w:spacing w:after="0" w:line="240" w:lineRule="auto"/>
        <w:ind w:left="44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Household appliances (e.g., Philips air fryer, Bosch mixer, coffee machine, Bluetooth speaker, WMF cookware, vacuum cleaner);</w:t>
      </w:r>
    </w:p>
    <w:p w14:paraId="3CBBA523">
      <w:pPr>
        <w:pStyle w:val="150"/>
        <w:widowControl w:val="0"/>
        <w:spacing w:after="0" w:line="240" w:lineRule="auto"/>
        <w:ind w:left="440"/>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Small promotional items (e.g., football, teddy bear, beanie).</w:t>
      </w:r>
    </w:p>
    <w:p w14:paraId="05BB1193">
      <w:pPr>
        <w:pStyle w:val="150"/>
        <w:widowControl w:val="0"/>
        <w:numPr>
          <w:ilvl w:val="0"/>
          <w:numId w:val="10"/>
        </w:numPr>
        <w:spacing w:after="0" w:line="240" w:lineRule="auto"/>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Gift availability, models, and point requirements may vary and are subject to stock and may change without prior notice. The situation regarding gift availability, models and Point requirements at the time of application counts. AIKO reserves full rights to define and modify the redemption price (in Points) of any gift at its sole discretion.</w:t>
      </w:r>
    </w:p>
    <w:p w14:paraId="25184D54">
      <w:pPr>
        <w:pStyle w:val="150"/>
        <w:widowControl w:val="0"/>
        <w:numPr>
          <w:ilvl w:val="0"/>
          <w:numId w:val="10"/>
        </w:numPr>
        <w:spacing w:after="0" w:line="240" w:lineRule="auto"/>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Some items may require custom orders via customer service (e.g., smartphones).</w:t>
      </w:r>
    </w:p>
    <w:p w14:paraId="745B2D04">
      <w:pPr>
        <w:pStyle w:val="150"/>
        <w:widowControl w:val="0"/>
        <w:numPr>
          <w:ilvl w:val="0"/>
          <w:numId w:val="10"/>
        </w:numPr>
        <w:spacing w:after="0" w:line="240" w:lineRule="auto"/>
        <w:jc w:val="both"/>
        <w:rPr>
          <w:rFonts w:eastAsiaTheme="minorHAnsi"/>
          <w:bCs/>
          <w:color w:val="000000" w:themeColor="text1"/>
          <w:szCs w:val="21"/>
          <w14:textFill>
            <w14:solidFill>
              <w14:schemeClr w14:val="tx1"/>
            </w14:solidFill>
          </w14:textFill>
        </w:rPr>
      </w:pPr>
      <w:r>
        <w:rPr>
          <w:rFonts w:eastAsiaTheme="minorHAnsi"/>
          <w:bCs/>
          <w:color w:val="000000" w:themeColor="text1"/>
          <w:szCs w:val="21"/>
          <w14:textFill>
            <w14:solidFill>
              <w14:schemeClr w14:val="tx1"/>
            </w14:solidFill>
          </w14:textFill>
        </w:rPr>
        <w:t>Installers are responsible for complying with any local tax obligations arising from the redemption of gifts.</w:t>
      </w:r>
    </w:p>
    <w:p w14:paraId="61682179">
      <w:pPr>
        <w:pStyle w:val="3"/>
        <w:jc w:val="both"/>
        <w:rPr>
          <w:rFonts w:eastAsia="宋体"/>
          <w:lang w:eastAsia="zh-CN"/>
        </w:rPr>
      </w:pPr>
      <w:r>
        <w:t>6. Seasonal Promotions</w:t>
      </w:r>
    </w:p>
    <w:p w14:paraId="72D9127E">
      <w:pPr>
        <w:rPr>
          <w:rFonts w:eastAsia="宋体"/>
          <w:lang w:eastAsia="zh-CN"/>
        </w:rPr>
      </w:pPr>
    </w:p>
    <w:p w14:paraId="0CA76F6D">
      <w:pPr>
        <w:pStyle w:val="150"/>
        <w:widowControl w:val="0"/>
        <w:numPr>
          <w:ilvl w:val="0"/>
          <w:numId w:val="11"/>
        </w:numPr>
        <w:spacing w:after="0" w:line="240" w:lineRule="auto"/>
        <w:jc w:val="both"/>
      </w:pPr>
      <w:r>
        <w:rPr>
          <w:rFonts w:eastAsiaTheme="minorHAnsi"/>
          <w:bCs/>
          <w:color w:val="000000" w:themeColor="text1"/>
          <w:szCs w:val="21"/>
          <w14:textFill>
            <w14:solidFill>
              <w14:schemeClr w14:val="tx1"/>
            </w14:solidFill>
          </w14:textFill>
        </w:rPr>
        <w:t>Promotional Points follow the same validity rules as regular Points. Promotions, such as double or triple points apply only to invoices issued during the official promotion period.</w:t>
      </w:r>
    </w:p>
    <w:p w14:paraId="0E6A619F">
      <w:pPr>
        <w:pStyle w:val="150"/>
        <w:widowControl w:val="0"/>
        <w:numPr>
          <w:ilvl w:val="0"/>
          <w:numId w:val="11"/>
        </w:numPr>
        <w:spacing w:after="0" w:line="240" w:lineRule="auto"/>
        <w:jc w:val="both"/>
      </w:pPr>
      <w:r>
        <w:rPr>
          <w:rFonts w:eastAsiaTheme="minorHAnsi"/>
          <w:bCs/>
          <w:color w:val="000000" w:themeColor="text1"/>
          <w:szCs w:val="21"/>
          <w14:textFill>
            <w14:solidFill>
              <w14:schemeClr w14:val="tx1"/>
            </w14:solidFill>
          </w14:textFill>
        </w:rPr>
        <w:t xml:space="preserve">Installers must apply manually through customer service to activate multiplier bonuses. Application deadlines and eligible product types will be published for each promotion. </w:t>
      </w:r>
      <w:r>
        <w:rPr>
          <w:rFonts w:eastAsiaTheme="minorHAnsi"/>
          <w:bCs/>
          <w:color w:val="000000" w:themeColor="text1"/>
          <w:szCs w:val="21"/>
          <w14:textFill>
            <w14:solidFill>
              <w14:schemeClr w14:val="tx1"/>
            </w14:solidFill>
          </w14:textFill>
        </w:rPr>
        <w:br w:type="textWrapping"/>
      </w:r>
    </w:p>
    <w:p w14:paraId="222FCD02">
      <w:pPr>
        <w:pStyle w:val="3"/>
        <w:jc w:val="both"/>
        <w:rPr>
          <w:rFonts w:eastAsia="宋体"/>
          <w:lang w:eastAsia="zh-CN"/>
        </w:rPr>
      </w:pPr>
      <w:r>
        <w:t>7. China Tour Redemption</w:t>
      </w:r>
    </w:p>
    <w:p w14:paraId="0A0BD3CA">
      <w:pPr>
        <w:pStyle w:val="32"/>
        <w:keepNext w:val="0"/>
        <w:keepLines w:val="0"/>
        <w:widowControl/>
        <w:suppressLineNumbers w:val="0"/>
      </w:pPr>
      <w:r>
        <w:t>7.1 Participants may redeem points for special rewards such as the “China Tour” or similar experience packages. The specific content, value, and redemption rules of such campaigns will be communicated separately via official AIC Information (e.g. website, Newsletter, or email).</w:t>
      </w:r>
    </w:p>
    <w:p w14:paraId="5484E3CB">
      <w:pPr>
        <w:pStyle w:val="32"/>
        <w:keepNext w:val="0"/>
        <w:keepLines w:val="0"/>
        <w:widowControl/>
        <w:suppressLineNumbers w:val="0"/>
        <w:rPr>
          <w:rFonts w:eastAsiaTheme="minorHAnsi"/>
          <w:color w:val="000000" w:themeColor="text1"/>
          <w:szCs w:val="21"/>
          <w14:textFill>
            <w14:solidFill>
              <w14:schemeClr w14:val="tx1"/>
            </w14:solidFill>
          </w14:textFill>
        </w:rPr>
      </w:pPr>
      <w:r>
        <w:t>7.2 The availability, redemption deadline, and terms of participation for such campaigns are subject to the specific campaign announcement.</w:t>
      </w:r>
    </w:p>
    <w:p w14:paraId="043FD4B6">
      <w:pPr>
        <w:pStyle w:val="3"/>
        <w:jc w:val="both"/>
        <w:rPr>
          <w:rFonts w:eastAsia="宋体"/>
          <w:lang w:eastAsia="zh-CN"/>
        </w:rPr>
      </w:pPr>
      <w:r>
        <w:t>8. Privacy and Data Protection</w:t>
      </w:r>
    </w:p>
    <w:p w14:paraId="1FCFEC5D">
      <w:pPr>
        <w:rPr>
          <w:rFonts w:eastAsia="宋体"/>
          <w:lang w:eastAsia="zh-CN"/>
        </w:rPr>
      </w:pPr>
    </w:p>
    <w:p w14:paraId="06AB5FA4">
      <w:pPr>
        <w:pStyle w:val="150"/>
        <w:numPr>
          <w:ilvl w:val="1"/>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cs="Courier New" w:eastAsiaTheme="minorHAnsi"/>
          <w:color w:val="202124"/>
          <w:szCs w:val="21"/>
          <w:lang w:val="en"/>
        </w:rPr>
      </w:pPr>
      <w:r>
        <w:rPr>
          <w:rFonts w:cs="Courier New" w:eastAsiaTheme="minorHAnsi"/>
          <w:color w:val="202124"/>
          <w:szCs w:val="21"/>
          <w:lang w:val="en"/>
        </w:rPr>
        <w:t>All Participant data will be treated confidentially and only used for the purpose of the AIC program, always in accordance with the data protection regulations of the Federal Republic of Germany and the EU-GDPR.</w:t>
      </w:r>
    </w:p>
    <w:p w14:paraId="7780BE5D">
      <w:pPr>
        <w:pStyle w:val="150"/>
        <w:numPr>
          <w:ilvl w:val="1"/>
          <w:numId w:val="12"/>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val="0"/>
        <w:jc w:val="both"/>
        <w:rPr>
          <w:rStyle w:val="177"/>
          <w:rFonts w:cs="Courier New" w:eastAsiaTheme="minorHAnsi"/>
          <w:color w:val="202124"/>
          <w:szCs w:val="21"/>
          <w:lang w:val="en"/>
        </w:rPr>
      </w:pPr>
      <w:r>
        <w:rPr>
          <w:rStyle w:val="177"/>
          <w:rFonts w:eastAsiaTheme="minorHAnsi"/>
          <w:color w:val="202124"/>
          <w:szCs w:val="21"/>
          <w:lang w:val="en"/>
        </w:rPr>
        <w:t>To participate in the competition AIKO requires the following information as mandatory: Contact person’s name, surname, email address, telephone number/mobile number.</w:t>
      </w:r>
    </w:p>
    <w:p w14:paraId="2113E0EF">
      <w:pPr>
        <w:pStyle w:val="31"/>
        <w:numPr>
          <w:ilvl w:val="1"/>
          <w:numId w:val="12"/>
        </w:numPr>
        <w:jc w:val="both"/>
        <w:rPr>
          <w:rStyle w:val="177"/>
          <w:rFonts w:asciiTheme="minorHAnsi" w:hAnsiTheme="minorHAnsi" w:eastAsiaTheme="minorHAnsi" w:cstheme="minorBidi"/>
          <w:color w:val="202124"/>
          <w:sz w:val="21"/>
          <w:szCs w:val="21"/>
          <w:lang w:val="en" w:eastAsia="en-US"/>
        </w:rPr>
      </w:pPr>
      <w:r>
        <w:rPr>
          <w:rStyle w:val="177"/>
          <w:rFonts w:asciiTheme="minorHAnsi" w:hAnsiTheme="minorHAnsi" w:eastAsiaTheme="minorHAnsi"/>
          <w:color w:val="202124"/>
          <w:sz w:val="21"/>
          <w:szCs w:val="21"/>
          <w:lang w:val="en"/>
        </w:rPr>
        <w:t>AIKO uses this information to notify Participants and to request further information. The legal basis for data processing is Article 6 Paragraph 1 Letter b GDPR. AIKO will delete Participant’s personal data six months after delivery of the respective Gift.</w:t>
      </w:r>
    </w:p>
    <w:p w14:paraId="12A90113">
      <w:pPr>
        <w:pStyle w:val="31"/>
        <w:numPr>
          <w:ilvl w:val="1"/>
          <w:numId w:val="12"/>
        </w:numPr>
        <w:jc w:val="both"/>
        <w:rPr>
          <w:rStyle w:val="177"/>
          <w:rFonts w:asciiTheme="minorHAnsi" w:hAnsiTheme="minorHAnsi" w:eastAsiaTheme="minorHAnsi"/>
          <w:color w:val="202124"/>
          <w:sz w:val="21"/>
          <w:szCs w:val="21"/>
          <w:lang w:val="en"/>
        </w:rPr>
      </w:pPr>
      <w:r>
        <w:rPr>
          <w:rStyle w:val="177"/>
          <w:rFonts w:asciiTheme="minorHAnsi" w:hAnsiTheme="minorHAnsi" w:eastAsiaTheme="minorHAnsi"/>
          <w:color w:val="202124"/>
          <w:sz w:val="21"/>
          <w:szCs w:val="21"/>
          <w:lang w:val="en"/>
        </w:rPr>
        <w:t>AIKO uses service providers to provide services and process Participant data (so-called order processing). The service providers process the data exclusively on the instructions of AIKO and are obliged to comply with the applicable data protection regulations.</w:t>
      </w:r>
    </w:p>
    <w:p w14:paraId="789AFDFB">
      <w:pPr>
        <w:pStyle w:val="31"/>
        <w:numPr>
          <w:ilvl w:val="1"/>
          <w:numId w:val="12"/>
        </w:numPr>
        <w:jc w:val="both"/>
        <w:rPr>
          <w:rStyle w:val="177"/>
          <w:rFonts w:asciiTheme="minorHAnsi" w:hAnsiTheme="minorHAnsi" w:eastAsiaTheme="minorHAnsi"/>
          <w:color w:val="202124"/>
          <w:sz w:val="21"/>
          <w:szCs w:val="21"/>
          <w:lang w:val="en"/>
        </w:rPr>
      </w:pPr>
      <w:r>
        <w:rPr>
          <w:rStyle w:val="177"/>
          <w:rFonts w:asciiTheme="minorHAnsi" w:hAnsiTheme="minorHAnsi" w:eastAsiaTheme="minorHAnsi"/>
          <w:color w:val="202124"/>
          <w:sz w:val="21"/>
          <w:szCs w:val="21"/>
          <w:lang w:val="en"/>
        </w:rPr>
        <w:t>The servers of some service providers used by AIKO are located in China and other countries outside the European Union. Companies in these countries are subject to data protection laws that generally do not protect personal data to the same extent as those in European Union member states. If Participants’ data is processed in a country that does not have a recognized high level of data protection like the European Union, AIKO uses contractual regulations or other recognized instruments to ensure that personal data is adequately protected.</w:t>
      </w:r>
    </w:p>
    <w:p w14:paraId="6D0E7C58">
      <w:pPr>
        <w:pStyle w:val="31"/>
        <w:numPr>
          <w:ilvl w:val="1"/>
          <w:numId w:val="12"/>
        </w:numPr>
        <w:jc w:val="both"/>
        <w:rPr>
          <w:rFonts w:asciiTheme="minorHAnsi" w:hAnsiTheme="minorHAnsi" w:eastAsiaTheme="minorHAnsi"/>
          <w:color w:val="202124"/>
          <w:sz w:val="21"/>
          <w:szCs w:val="21"/>
          <w:lang w:val="en-US"/>
        </w:rPr>
      </w:pPr>
      <w:r>
        <w:rPr>
          <w:rStyle w:val="177"/>
          <w:rFonts w:asciiTheme="minorHAnsi" w:hAnsiTheme="minorHAnsi" w:eastAsiaTheme="minorHAnsi"/>
          <w:color w:val="202124"/>
          <w:sz w:val="21"/>
          <w:szCs w:val="21"/>
          <w:lang w:val="en"/>
        </w:rPr>
        <w:t xml:space="preserve">Each Participant has the right to request information about what personal data AIKO stores and the purpose for which it is stored. In addition, each Participant can have incorrect data corrected or data whose storage is inadmissible or no longer necessary deleted. Each Participant has the right to data portability, and also has the right to complain to a supervisory authority about the data processing taking place. AIKO’s data protection officer is available at </w:t>
      </w:r>
      <w:r>
        <w:rPr>
          <w:rStyle w:val="174"/>
          <w:rFonts w:hint="eastAsia" w:eastAsia="宋体" w:cs="Arial" w:asciiTheme="minorHAnsi" w:hAnsiTheme="minorHAnsi"/>
          <w:color w:val="202124"/>
          <w:sz w:val="21"/>
          <w:szCs w:val="21"/>
          <w:shd w:val="clear" w:color="auto" w:fill="FFFFFF"/>
          <w:lang w:val="en-US" w:eastAsia="zh-CN"/>
        </w:rPr>
        <w:t>AIKO</w:t>
      </w:r>
      <w:bookmarkStart w:id="0" w:name="_GoBack"/>
      <w:bookmarkEnd w:id="0"/>
      <w:r>
        <w:rPr>
          <w:rStyle w:val="174"/>
          <w:rFonts w:cs="Arial" w:asciiTheme="minorHAnsi" w:hAnsiTheme="minorHAnsi" w:eastAsiaTheme="minorHAnsi"/>
          <w:color w:val="202124"/>
          <w:sz w:val="21"/>
          <w:szCs w:val="21"/>
          <w:shd w:val="clear" w:color="auto" w:fill="FFFFFF"/>
          <w:lang w:val="en-US"/>
        </w:rPr>
        <w:t xml:space="preserve"> Energy Germany GmbH, </w:t>
      </w:r>
      <w:r>
        <w:rPr>
          <w:rStyle w:val="175"/>
          <w:rFonts w:cs="Arial" w:asciiTheme="minorHAnsi" w:hAnsiTheme="minorHAnsi" w:eastAsiaTheme="minorHAnsi"/>
          <w:color w:val="202124"/>
          <w:sz w:val="21"/>
          <w:szCs w:val="21"/>
          <w:shd w:val="clear" w:color="auto" w:fill="FFFFFF"/>
          <w:lang w:val="en-US"/>
        </w:rPr>
        <w:t>Niederkasseler Lohweg 18, 40547 Düsseldorf, dpo_international@aikosolar.com.</w:t>
      </w:r>
      <w:r>
        <w:rPr>
          <w:rFonts w:asciiTheme="minorHAnsi" w:hAnsiTheme="minorHAnsi"/>
          <w:sz w:val="21"/>
          <w:szCs w:val="21"/>
          <w:lang w:val="en-US"/>
        </w:rPr>
        <w:t xml:space="preserve"> Furthermore, Installers may also request data deletion by contacting installer.Community@aikosolar.com.</w:t>
      </w:r>
      <w:r>
        <w:rPr>
          <w:rFonts w:asciiTheme="minorHAnsi" w:hAnsiTheme="minorHAnsi"/>
          <w:sz w:val="21"/>
          <w:szCs w:val="21"/>
          <w:lang w:val="en-US"/>
        </w:rPr>
        <w:br w:type="textWrapping"/>
      </w:r>
    </w:p>
    <w:p w14:paraId="5FC5270A">
      <w:pPr>
        <w:pStyle w:val="3"/>
        <w:jc w:val="both"/>
        <w:rPr>
          <w:rFonts w:eastAsia="宋体"/>
          <w:lang w:eastAsia="zh-CN"/>
        </w:rPr>
      </w:pPr>
      <w:r>
        <w:t>9. Liability</w:t>
      </w:r>
    </w:p>
    <w:p w14:paraId="29779A34">
      <w:pPr>
        <w:rPr>
          <w:rFonts w:eastAsia="宋体"/>
          <w:lang w:eastAsia="zh-CN"/>
        </w:rPr>
      </w:pPr>
    </w:p>
    <w:p w14:paraId="6C63821F">
      <w:pPr>
        <w:pStyle w:val="150"/>
        <w:numPr>
          <w:ilvl w:val="1"/>
          <w:numId w:val="13"/>
        </w:numPr>
        <w:spacing w:after="0" w:line="240" w:lineRule="auto"/>
        <w:jc w:val="both"/>
        <w:textAlignment w:val="baseline"/>
        <w:rPr>
          <w:rFonts w:eastAsiaTheme="minorHAnsi"/>
          <w:color w:val="000000" w:themeColor="text1"/>
          <w:sz w:val="24"/>
          <w:szCs w:val="24"/>
          <w14:textFill>
            <w14:solidFill>
              <w14:schemeClr w14:val="tx1"/>
            </w14:solidFill>
          </w14:textFill>
        </w:rPr>
      </w:pPr>
      <w:r>
        <w:rPr>
          <w:rFonts w:eastAsiaTheme="minorHAnsi"/>
          <w:color w:val="000000" w:themeColor="text1"/>
          <w14:textFill>
            <w14:solidFill>
              <w14:schemeClr w14:val="tx1"/>
            </w14:solidFill>
          </w14:textFill>
        </w:rPr>
        <w:t>AIKO cannot accept any responsibility for any damage, loss, injury or disappointment suffered by any entrant entering the AIC program or as a result of accepting any Points and/or Gifts. AIKO is not responsible for any problems or technical malfunction of any telephone network or lines, computer on-line systems, servers, or providers, computer equipment, software failure of any email or entry to be received on account of technical problems or traffic congestion on the Internet, telephone lines or at any web site, or any combination thereof, including any injury or damage to entrant’s or any other person’s computer or mobile telephone related to or resulting from participation or downloading any materials in the Competition.</w:t>
      </w:r>
    </w:p>
    <w:p w14:paraId="4083D92C">
      <w:pPr>
        <w:pStyle w:val="150"/>
        <w:numPr>
          <w:ilvl w:val="1"/>
          <w:numId w:val="13"/>
        </w:numPr>
        <w:spacing w:after="0" w:line="240" w:lineRule="auto"/>
        <w:jc w:val="both"/>
        <w:textAlignment w:val="baseline"/>
        <w:rPr>
          <w:rFonts w:eastAsiaTheme="minorHAnsi"/>
          <w:color w:val="000000" w:themeColor="text1"/>
          <w14:textFill>
            <w14:solidFill>
              <w14:schemeClr w14:val="tx1"/>
            </w14:solidFill>
          </w14:textFill>
        </w:rPr>
      </w:pPr>
      <w:r>
        <w:rPr>
          <w:rFonts w:eastAsiaTheme="minorHAnsi"/>
          <w:color w:val="000000" w:themeColor="text1"/>
          <w14:textFill>
            <w14:solidFill>
              <w14:schemeClr w14:val="tx1"/>
            </w14:solidFill>
          </w14:textFill>
        </w:rPr>
        <w:t>AIKO cannot promise that the services relating to the AIC program will be free from errors or omissions nor that they will be available uninterrupted and in a fully operating condition. These services may be suspended temporarily and without notice in the case of system failure, maintenance or repair or for reasons reasonably beyond the control of AIKO. AIKO will not be liable in the event that all or any part of the service relating to the Competition is discontinued, modified or changed in any way.</w:t>
      </w:r>
    </w:p>
    <w:p w14:paraId="1D2F34D8">
      <w:pPr>
        <w:pStyle w:val="3"/>
        <w:jc w:val="both"/>
      </w:pPr>
      <w:r>
        <w:t>10. Severability</w:t>
      </w:r>
    </w:p>
    <w:p w14:paraId="370AFD5D">
      <w:pPr>
        <w:jc w:val="both"/>
      </w:pPr>
    </w:p>
    <w:p w14:paraId="3BA6A9C9">
      <w:pPr>
        <w:jc w:val="both"/>
      </w:pPr>
      <w:r>
        <w:t>Should individual provisions of these T&amp;C be invalid or unenforceable or become invalid or unenforceable after conclusion of the contract, this shall not affect the validity of the remainder of this document. The invalid or unenforceable provision shall be replaced by a valid and enforceable provision that comes as close as possible to the economic purpose of the invalid or unenforceable provision. The above provisions shall apply accordingly if this document proves to be incomplete.</w:t>
      </w:r>
    </w:p>
    <w:p w14:paraId="03CC4510">
      <w:pPr>
        <w:pStyle w:val="3"/>
        <w:jc w:val="both"/>
      </w:pPr>
      <w:r>
        <w:t>11. Acknowledgement, Applicable Law, Jurisdiction</w:t>
      </w:r>
    </w:p>
    <w:p w14:paraId="4E821D66">
      <w:pPr>
        <w:pStyle w:val="32"/>
        <w:ind w:left="720" w:hanging="720"/>
        <w:jc w:val="both"/>
        <w:rPr>
          <w:rFonts w:asciiTheme="minorHAnsi" w:hAnsiTheme="minorHAnsi"/>
          <w:sz w:val="22"/>
          <w:szCs w:val="22"/>
          <w:lang w:val="en-US"/>
        </w:rPr>
      </w:pPr>
      <w:r>
        <w:rPr>
          <w:rFonts w:asciiTheme="minorHAnsi" w:hAnsiTheme="minorHAnsi"/>
          <w:sz w:val="22"/>
          <w:szCs w:val="22"/>
          <w:lang w:val="en-US"/>
        </w:rPr>
        <w:t xml:space="preserve">11.1. </w:t>
      </w:r>
      <w:r>
        <w:rPr>
          <w:rFonts w:asciiTheme="minorHAnsi" w:hAnsiTheme="minorHAnsi"/>
          <w:sz w:val="22"/>
          <w:szCs w:val="22"/>
          <w:lang w:val="en-US"/>
        </w:rPr>
        <w:tab/>
      </w:r>
      <w:r>
        <w:rPr>
          <w:rFonts w:asciiTheme="minorHAnsi" w:hAnsiTheme="minorHAnsi"/>
          <w:sz w:val="22"/>
          <w:szCs w:val="22"/>
          <w:lang w:val="en-US"/>
        </w:rPr>
        <w:t>Participation in AIC does not constitute employment or agency with AIKO. AIKO is not responsible for delays in gift shipping or system errors. AIKO will make reasonable efforts to assist with after-sales service for redeemed products but makes no binding commitments or guarantees.</w:t>
      </w:r>
    </w:p>
    <w:p w14:paraId="70AEC0CC">
      <w:pPr>
        <w:pStyle w:val="32"/>
        <w:ind w:left="720" w:hanging="720"/>
        <w:jc w:val="both"/>
        <w:rPr>
          <w:rFonts w:asciiTheme="minorHAnsi" w:hAnsiTheme="minorHAnsi" w:eastAsiaTheme="minorHAnsi"/>
          <w:color w:val="000000" w:themeColor="text1"/>
          <w:sz w:val="21"/>
          <w:szCs w:val="21"/>
          <w:lang w:val="en-US"/>
          <w14:textFill>
            <w14:solidFill>
              <w14:schemeClr w14:val="tx1"/>
            </w14:solidFill>
          </w14:textFill>
        </w:rPr>
      </w:pPr>
      <w:r>
        <w:rPr>
          <w:rFonts w:hint="eastAsia" w:eastAsia="宋体" w:asciiTheme="minorHAnsi" w:hAnsiTheme="minorHAnsi"/>
          <w:sz w:val="22"/>
          <w:szCs w:val="22"/>
          <w:lang w:val="en-US"/>
        </w:rPr>
        <w:t>1</w:t>
      </w:r>
      <w:r>
        <w:rPr>
          <w:rFonts w:eastAsia="宋体" w:asciiTheme="minorHAnsi" w:hAnsiTheme="minorHAnsi"/>
          <w:sz w:val="22"/>
          <w:szCs w:val="22"/>
          <w:lang w:val="en-US"/>
        </w:rPr>
        <w:t>1</w:t>
      </w:r>
      <w:r>
        <w:rPr>
          <w:rFonts w:hint="eastAsia" w:eastAsia="宋体" w:asciiTheme="minorHAnsi" w:hAnsiTheme="minorHAnsi"/>
          <w:sz w:val="22"/>
          <w:szCs w:val="22"/>
          <w:lang w:val="en-US"/>
        </w:rPr>
        <w:t xml:space="preserve">.2     </w:t>
      </w:r>
      <w:r>
        <w:rPr>
          <w:rFonts w:asciiTheme="minorHAnsi" w:hAnsiTheme="minorHAnsi" w:eastAsiaTheme="minorHAnsi"/>
          <w:color w:val="000000" w:themeColor="text1"/>
          <w:sz w:val="21"/>
          <w:szCs w:val="21"/>
          <w:lang w:val="en-US"/>
          <w14:textFill>
            <w14:solidFill>
              <w14:schemeClr w14:val="tx1"/>
            </w14:solidFill>
          </w14:textFill>
        </w:rPr>
        <w:t>At the time of registration specified under section 3 above, the Participants confirm that they have read and understood these T&amp;C. Acknowledgement of these T&amp;C is documented by the successful confirmation of participation at the latest. A successful participation only results from previous confirmation of T&amp;C. This confirmation certifies that the Participant has read, understood, and accepted the T&amp;C. The AIC program is strictly limited to professional installers and companies. It is not intended for private end consumers.</w:t>
      </w:r>
      <w:r>
        <w:rPr>
          <w:rFonts w:hint="eastAsia" w:eastAsia="宋体" w:asciiTheme="minorHAnsi" w:hAnsiTheme="minorHAnsi"/>
          <w:color w:val="000000" w:themeColor="text1"/>
          <w:sz w:val="21"/>
          <w:szCs w:val="21"/>
          <w:lang w:val="en-US" w:eastAsia="zh-CN"/>
          <w14:textFill>
            <w14:solidFill>
              <w14:schemeClr w14:val="tx1"/>
            </w14:solidFill>
          </w14:textFill>
        </w:rPr>
        <w:t xml:space="preserve"> </w:t>
      </w:r>
      <w:r>
        <w:rPr>
          <w:rFonts w:asciiTheme="minorHAnsi" w:hAnsiTheme="minorHAnsi" w:eastAsiaTheme="minorHAnsi"/>
          <w:color w:val="000000" w:themeColor="text1"/>
          <w:sz w:val="21"/>
          <w:szCs w:val="21"/>
          <w:lang w:val="en-US"/>
          <w14:textFill>
            <w14:solidFill>
              <w14:schemeClr w14:val="tx1"/>
            </w14:solidFill>
          </w14:textFill>
        </w:rPr>
        <w:t xml:space="preserve">The Participant hereby agrees to his entry into the Competition. </w:t>
      </w:r>
    </w:p>
    <w:p w14:paraId="7B273DC7">
      <w:pPr>
        <w:pStyle w:val="32"/>
        <w:ind w:left="720" w:hanging="720"/>
        <w:jc w:val="both"/>
        <w:rPr>
          <w:rFonts w:asciiTheme="minorHAnsi" w:hAnsiTheme="minorHAnsi" w:eastAsiaTheme="minorHAnsi"/>
          <w:color w:val="000000" w:themeColor="text1"/>
          <w:sz w:val="21"/>
          <w:szCs w:val="21"/>
          <w:lang w:val="en-US"/>
          <w14:textFill>
            <w14:solidFill>
              <w14:schemeClr w14:val="tx1"/>
            </w14:solidFill>
          </w14:textFill>
        </w:rPr>
      </w:pPr>
      <w:r>
        <w:rPr>
          <w:rFonts w:hint="eastAsia" w:eastAsia="宋体" w:asciiTheme="minorHAnsi" w:hAnsiTheme="minorHAnsi"/>
          <w:color w:val="000000" w:themeColor="text1"/>
          <w:sz w:val="21"/>
          <w:szCs w:val="21"/>
          <w:lang w:val="en-US"/>
          <w14:textFill>
            <w14:solidFill>
              <w14:schemeClr w14:val="tx1"/>
            </w14:solidFill>
          </w14:textFill>
        </w:rPr>
        <w:t>1</w:t>
      </w:r>
      <w:r>
        <w:rPr>
          <w:rFonts w:eastAsia="宋体" w:asciiTheme="minorHAnsi" w:hAnsiTheme="minorHAnsi"/>
          <w:color w:val="000000" w:themeColor="text1"/>
          <w:sz w:val="21"/>
          <w:szCs w:val="21"/>
          <w:lang w:val="en-US"/>
          <w14:textFill>
            <w14:solidFill>
              <w14:schemeClr w14:val="tx1"/>
            </w14:solidFill>
          </w14:textFill>
        </w:rPr>
        <w:t>1</w:t>
      </w:r>
      <w:r>
        <w:rPr>
          <w:rFonts w:hint="eastAsia" w:eastAsia="宋体" w:asciiTheme="minorHAnsi" w:hAnsiTheme="minorHAnsi"/>
          <w:color w:val="000000" w:themeColor="text1"/>
          <w:sz w:val="21"/>
          <w:szCs w:val="21"/>
          <w:lang w:val="en-US"/>
          <w14:textFill>
            <w14:solidFill>
              <w14:schemeClr w14:val="tx1"/>
            </w14:solidFill>
          </w14:textFill>
        </w:rPr>
        <w:t xml:space="preserve">.3    </w:t>
      </w:r>
      <w:r>
        <w:rPr>
          <w:rFonts w:asciiTheme="minorHAnsi" w:hAnsiTheme="minorHAnsi" w:eastAsiaTheme="minorHAnsi"/>
          <w:color w:val="000000" w:themeColor="text1"/>
          <w:sz w:val="21"/>
          <w:szCs w:val="21"/>
          <w:lang w:val="en-US"/>
          <w14:textFill>
            <w14:solidFill>
              <w14:schemeClr w14:val="tx1"/>
            </w14:solidFill>
          </w14:textFill>
        </w:rPr>
        <w:t>Apart from mandatory consumer protection regulations these T&amp;C are governed by German law, the place of jurisdiction for non-consumers is Düsseldorf, Germany.</w:t>
      </w:r>
    </w:p>
    <w:p w14:paraId="60162F42">
      <w:pPr>
        <w:pStyle w:val="32"/>
        <w:jc w:val="both"/>
        <w:rPr>
          <w:rFonts w:eastAsia="宋体" w:asciiTheme="minorHAnsi" w:hAnsiTheme="minorHAnsi"/>
          <w:color w:val="000000" w:themeColor="text1"/>
          <w:sz w:val="21"/>
          <w:szCs w:val="21"/>
          <w:lang w:val="en-US"/>
          <w14:textFill>
            <w14:solidFill>
              <w14:schemeClr w14:val="tx1"/>
            </w14:solidFill>
          </w14:textFill>
        </w:rPr>
      </w:pPr>
    </w:p>
    <w:p w14:paraId="7B3AFE3F">
      <w:pPr>
        <w:pStyle w:val="3"/>
      </w:pPr>
      <w:r>
        <w:t>12. General Terms</w:t>
      </w:r>
    </w:p>
    <w:p w14:paraId="2138A509">
      <w:pPr>
        <w:pStyle w:val="32"/>
      </w:pPr>
      <w:r>
        <w:t>12.1 AIKO reserves the right to amend or terminate specific rewards, redemption rules, or campaigns with prior notice.</w:t>
      </w:r>
    </w:p>
    <w:p w14:paraId="151FFE59">
      <w:pPr>
        <w:pStyle w:val="32"/>
      </w:pPr>
      <w:r>
        <w:t>12.2 In case of disputes, AIKO reserves the final right of interpretation.</w:t>
      </w:r>
    </w:p>
    <w:p w14:paraId="076D5907">
      <w:pPr>
        <w:pStyle w:val="32"/>
        <w:ind w:left="720" w:hanging="720"/>
        <w:jc w:val="both"/>
        <w:rPr>
          <w:rFonts w:eastAsia="宋体" w:asciiTheme="minorHAnsi" w:hAnsiTheme="minorHAnsi"/>
          <w:color w:val="000000" w:themeColor="text1"/>
          <w:sz w:val="21"/>
          <w:szCs w:val="21"/>
          <w14:textFill>
            <w14:solidFill>
              <w14:schemeClr w14:val="tx1"/>
            </w14:solidFill>
          </w14:textFill>
        </w:rPr>
      </w:pPr>
    </w:p>
    <w:p w14:paraId="2B79FC3F">
      <w:pPr>
        <w:pStyle w:val="3"/>
        <w:jc w:val="both"/>
      </w:pPr>
      <w:r>
        <w:t>Contact Information</w:t>
      </w:r>
    </w:p>
    <w:p w14:paraId="01CEC798">
      <w:pPr>
        <w:jc w:val="both"/>
      </w:pPr>
      <w:r>
        <w:br w:type="textWrapping"/>
      </w:r>
      <w:r>
        <w:t>Email: Installer.Community@aikosolar.com</w:t>
      </w:r>
      <w:r>
        <w:br w:type="textWrapping"/>
      </w:r>
    </w:p>
    <w:p w14:paraId="74CBC95D">
      <w:pPr>
        <w:jc w:val="both"/>
      </w:pPr>
      <w:r>
        <w:t xml:space="preserve">Website: </w:t>
      </w:r>
      <w:r>
        <w:rPr>
          <w:rFonts w:hint="eastAsia"/>
        </w:rPr>
        <w:t>https://aikosolar.com/en/aic/</w:t>
      </w:r>
      <w:r>
        <w:br w:type="textWrapping"/>
      </w:r>
    </w:p>
    <w:sectPr>
      <w:pgSz w:w="12240" w:h="15840"/>
      <w:pgMar w:top="1440" w:right="1800" w:bottom="1440" w:left="180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S Mincho">
    <w:panose1 w:val="02020609040205080304"/>
    <w:charset w:val="86"/>
    <w:family w:val="auto"/>
    <w:pitch w:val="default"/>
    <w:sig w:usb0="E00002FF" w:usb1="6AC7FDFB" w:usb2="08000012" w:usb3="00000000" w:csb0="4002009F" w:csb1="DFD70000"/>
  </w:font>
  <w:font w:name="MS Gothic">
    <w:panose1 w:val="020B0609070205080204"/>
    <w:charset w:val="80"/>
    <w:family w:val="auto"/>
    <w:pitch w:val="default"/>
    <w:sig w:usb0="E00002FF" w:usb1="6AC7FDFB" w:usb2="08000012" w:usb3="00000000" w:csb0="4002009F" w:csb1="DFD70000"/>
  </w:font>
  <w:font w:name="Courier">
    <w:altName w:val="Courier New"/>
    <w:panose1 w:val="02070409020205020404"/>
    <w:charset w:val="00"/>
    <w:family w:val="auto"/>
    <w:pitch w:val="default"/>
    <w:sig w:usb0="00000000" w:usb1="00000000" w:usb2="00000000" w:usb3="00000000" w:csb0="00000001" w:csb1="00000000"/>
  </w:font>
  <w:font w:name="MS Mincho">
    <w:panose1 w:val="02020609040205080304"/>
    <w:charset w:val="80"/>
    <w:family w:val="auto"/>
    <w:pitch w:val="default"/>
    <w:sig w:usb0="E00002FF" w:usb1="6AC7FDFB" w:usb2="08000012" w:usb3="00000000" w:csb0="4002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1"/>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9"/>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4"/>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abstractNum w:abstractNumId="6">
    <w:nsid w:val="013F0DFD"/>
    <w:multiLevelType w:val="multilevel"/>
    <w:tmpl w:val="013F0DFD"/>
    <w:lvl w:ilvl="0" w:tentative="0">
      <w:start w:val="8"/>
      <w:numFmt w:val="decimal"/>
      <w:lvlText w:val="%1."/>
      <w:lvlJc w:val="left"/>
      <w:pPr>
        <w:ind w:left="360" w:hanging="360"/>
      </w:pPr>
      <w:rPr>
        <w:rFonts w:hint="default" w:eastAsia="宋体" w:cstheme="minorBidi"/>
        <w:color w:val="auto"/>
      </w:rPr>
    </w:lvl>
    <w:lvl w:ilvl="1" w:tentative="0">
      <w:start w:val="1"/>
      <w:numFmt w:val="decimal"/>
      <w:lvlText w:val="8.%2"/>
      <w:lvlJc w:val="left"/>
      <w:pPr>
        <w:ind w:left="720" w:hanging="720"/>
      </w:pPr>
      <w:rPr>
        <w:rFonts w:hint="eastAsia"/>
        <w:color w:val="auto"/>
      </w:rPr>
    </w:lvl>
    <w:lvl w:ilvl="2" w:tentative="0">
      <w:start w:val="1"/>
      <w:numFmt w:val="decimal"/>
      <w:lvlText w:val="%1.%2.%3."/>
      <w:lvlJc w:val="left"/>
      <w:pPr>
        <w:ind w:left="720" w:hanging="720"/>
      </w:pPr>
      <w:rPr>
        <w:rFonts w:hint="default" w:eastAsia="宋体" w:cstheme="minorBidi"/>
        <w:color w:val="auto"/>
      </w:rPr>
    </w:lvl>
    <w:lvl w:ilvl="3" w:tentative="0">
      <w:start w:val="1"/>
      <w:numFmt w:val="decimal"/>
      <w:lvlText w:val="%1.%2.%3.%4."/>
      <w:lvlJc w:val="left"/>
      <w:pPr>
        <w:ind w:left="1080" w:hanging="1080"/>
      </w:pPr>
      <w:rPr>
        <w:rFonts w:hint="default" w:eastAsia="宋体" w:cstheme="minorBidi"/>
        <w:color w:val="auto"/>
      </w:rPr>
    </w:lvl>
    <w:lvl w:ilvl="4" w:tentative="0">
      <w:start w:val="1"/>
      <w:numFmt w:val="decimal"/>
      <w:lvlText w:val="%1.%2.%3.%4.%5."/>
      <w:lvlJc w:val="left"/>
      <w:pPr>
        <w:ind w:left="1080" w:hanging="1080"/>
      </w:pPr>
      <w:rPr>
        <w:rFonts w:hint="default" w:eastAsia="宋体" w:cstheme="minorBidi"/>
        <w:color w:val="auto"/>
      </w:rPr>
    </w:lvl>
    <w:lvl w:ilvl="5" w:tentative="0">
      <w:start w:val="1"/>
      <w:numFmt w:val="decimal"/>
      <w:lvlText w:val="%1.%2.%3.%4.%5.%6."/>
      <w:lvlJc w:val="left"/>
      <w:pPr>
        <w:ind w:left="1440" w:hanging="1440"/>
      </w:pPr>
      <w:rPr>
        <w:rFonts w:hint="default" w:eastAsia="宋体" w:cstheme="minorBidi"/>
        <w:color w:val="auto"/>
      </w:rPr>
    </w:lvl>
    <w:lvl w:ilvl="6" w:tentative="0">
      <w:start w:val="1"/>
      <w:numFmt w:val="decimal"/>
      <w:lvlText w:val="%1.%2.%3.%4.%5.%6.%7."/>
      <w:lvlJc w:val="left"/>
      <w:pPr>
        <w:ind w:left="1440" w:hanging="1440"/>
      </w:pPr>
      <w:rPr>
        <w:rFonts w:hint="default" w:eastAsia="宋体" w:cstheme="minorBidi"/>
        <w:color w:val="auto"/>
      </w:rPr>
    </w:lvl>
    <w:lvl w:ilvl="7" w:tentative="0">
      <w:start w:val="1"/>
      <w:numFmt w:val="decimal"/>
      <w:lvlText w:val="%1.%2.%3.%4.%5.%6.%7.%8."/>
      <w:lvlJc w:val="left"/>
      <w:pPr>
        <w:ind w:left="1800" w:hanging="1800"/>
      </w:pPr>
      <w:rPr>
        <w:rFonts w:hint="default" w:eastAsia="宋体" w:cstheme="minorBidi"/>
        <w:color w:val="auto"/>
      </w:rPr>
    </w:lvl>
    <w:lvl w:ilvl="8" w:tentative="0">
      <w:start w:val="1"/>
      <w:numFmt w:val="decimal"/>
      <w:lvlText w:val="%1.%2.%3.%4.%5.%6.%7.%8.%9."/>
      <w:lvlJc w:val="left"/>
      <w:pPr>
        <w:ind w:left="1800" w:hanging="1800"/>
      </w:pPr>
      <w:rPr>
        <w:rFonts w:hint="default" w:eastAsia="宋体" w:cstheme="minorBidi"/>
        <w:color w:val="auto"/>
      </w:rPr>
    </w:lvl>
  </w:abstractNum>
  <w:abstractNum w:abstractNumId="7">
    <w:nsid w:val="277B64E3"/>
    <w:multiLevelType w:val="multilevel"/>
    <w:tmpl w:val="277B64E3"/>
    <w:lvl w:ilvl="0" w:tentative="0">
      <w:start w:val="1"/>
      <w:numFmt w:val="decimal"/>
      <w:lvlText w:val="6.%1"/>
      <w:lvlJc w:val="left"/>
      <w:pPr>
        <w:ind w:left="440" w:hanging="440"/>
      </w:pPr>
      <w:rPr>
        <w:rFonts w:hint="eastAsia"/>
        <w:sz w:val="20"/>
        <w:szCs w:val="2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27D24AC1"/>
    <w:multiLevelType w:val="multilevel"/>
    <w:tmpl w:val="27D24AC1"/>
    <w:lvl w:ilvl="0" w:tentative="0">
      <w:start w:val="3"/>
      <w:numFmt w:val="decimal"/>
      <w:lvlText w:val="%1."/>
      <w:lvlJc w:val="left"/>
      <w:pPr>
        <w:ind w:left="360" w:hanging="36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9">
    <w:nsid w:val="465919B3"/>
    <w:multiLevelType w:val="multilevel"/>
    <w:tmpl w:val="465919B3"/>
    <w:lvl w:ilvl="0" w:tentative="0">
      <w:start w:val="9"/>
      <w:numFmt w:val="decimal"/>
      <w:lvlText w:val="%1."/>
      <w:lvlJc w:val="left"/>
      <w:pPr>
        <w:ind w:left="360" w:hanging="360"/>
      </w:pPr>
      <w:rPr>
        <w:rFonts w:hint="default"/>
        <w:sz w:val="22"/>
      </w:rPr>
    </w:lvl>
    <w:lvl w:ilvl="1" w:tentative="0">
      <w:start w:val="1"/>
      <w:numFmt w:val="decimal"/>
      <w:lvlText w:val="9.%2"/>
      <w:lvlJc w:val="left"/>
      <w:pPr>
        <w:ind w:left="720" w:hanging="720"/>
      </w:pPr>
      <w:rPr>
        <w:rFonts w:hint="eastAsia"/>
        <w:sz w:val="22"/>
      </w:rPr>
    </w:lvl>
    <w:lvl w:ilvl="2" w:tentative="0">
      <w:start w:val="1"/>
      <w:numFmt w:val="decimal"/>
      <w:lvlText w:val="%1.%2.%3."/>
      <w:lvlJc w:val="left"/>
      <w:pPr>
        <w:ind w:left="720" w:hanging="720"/>
      </w:pPr>
      <w:rPr>
        <w:rFonts w:hint="default"/>
        <w:sz w:val="22"/>
      </w:rPr>
    </w:lvl>
    <w:lvl w:ilvl="3" w:tentative="0">
      <w:start w:val="1"/>
      <w:numFmt w:val="decimal"/>
      <w:lvlText w:val="%1.%2.%3.%4."/>
      <w:lvlJc w:val="left"/>
      <w:pPr>
        <w:ind w:left="1080" w:hanging="1080"/>
      </w:pPr>
      <w:rPr>
        <w:rFonts w:hint="default"/>
        <w:sz w:val="22"/>
      </w:rPr>
    </w:lvl>
    <w:lvl w:ilvl="4" w:tentative="0">
      <w:start w:val="1"/>
      <w:numFmt w:val="decimal"/>
      <w:lvlText w:val="%1.%2.%3.%4.%5."/>
      <w:lvlJc w:val="left"/>
      <w:pPr>
        <w:ind w:left="1080" w:hanging="1080"/>
      </w:pPr>
      <w:rPr>
        <w:rFonts w:hint="default"/>
        <w:sz w:val="22"/>
      </w:rPr>
    </w:lvl>
    <w:lvl w:ilvl="5" w:tentative="0">
      <w:start w:val="1"/>
      <w:numFmt w:val="decimal"/>
      <w:lvlText w:val="%1.%2.%3.%4.%5.%6."/>
      <w:lvlJc w:val="left"/>
      <w:pPr>
        <w:ind w:left="1440" w:hanging="1440"/>
      </w:pPr>
      <w:rPr>
        <w:rFonts w:hint="default"/>
        <w:sz w:val="22"/>
      </w:rPr>
    </w:lvl>
    <w:lvl w:ilvl="6" w:tentative="0">
      <w:start w:val="1"/>
      <w:numFmt w:val="decimal"/>
      <w:lvlText w:val="%1.%2.%3.%4.%5.%6.%7."/>
      <w:lvlJc w:val="left"/>
      <w:pPr>
        <w:ind w:left="1440" w:hanging="1440"/>
      </w:pPr>
      <w:rPr>
        <w:rFonts w:hint="default"/>
        <w:sz w:val="22"/>
      </w:rPr>
    </w:lvl>
    <w:lvl w:ilvl="7" w:tentative="0">
      <w:start w:val="1"/>
      <w:numFmt w:val="decimal"/>
      <w:lvlText w:val="%1.%2.%3.%4.%5.%6.%7.%8."/>
      <w:lvlJc w:val="left"/>
      <w:pPr>
        <w:ind w:left="1800" w:hanging="1800"/>
      </w:pPr>
      <w:rPr>
        <w:rFonts w:hint="default"/>
        <w:sz w:val="22"/>
      </w:rPr>
    </w:lvl>
    <w:lvl w:ilvl="8" w:tentative="0">
      <w:start w:val="1"/>
      <w:numFmt w:val="decimal"/>
      <w:lvlText w:val="%1.%2.%3.%4.%5.%6.%7.%8.%9."/>
      <w:lvlJc w:val="left"/>
      <w:pPr>
        <w:ind w:left="1800" w:hanging="1800"/>
      </w:pPr>
      <w:rPr>
        <w:rFonts w:hint="default"/>
        <w:sz w:val="22"/>
      </w:rPr>
    </w:lvl>
  </w:abstractNum>
  <w:abstractNum w:abstractNumId="10">
    <w:nsid w:val="5AF94FCC"/>
    <w:multiLevelType w:val="multilevel"/>
    <w:tmpl w:val="5AF94FCC"/>
    <w:lvl w:ilvl="0" w:tentative="0">
      <w:start w:val="1"/>
      <w:numFmt w:val="decimal"/>
      <w:lvlText w:val="%1."/>
      <w:lvlJc w:val="left"/>
      <w:pPr>
        <w:ind w:left="360" w:hanging="360"/>
      </w:pPr>
      <w:rPr>
        <w:rFonts w:hint="default"/>
      </w:rPr>
    </w:lvl>
    <w:lvl w:ilvl="1" w:tentative="0">
      <w:start w:val="1"/>
      <w:numFmt w:val="decimal"/>
      <w:lvlText w:val="%1.%2."/>
      <w:lvlJc w:val="left"/>
      <w:pPr>
        <w:ind w:left="720" w:hanging="72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1800" w:hanging="1800"/>
      </w:pPr>
      <w:rPr>
        <w:rFonts w:hint="default"/>
      </w:rPr>
    </w:lvl>
  </w:abstractNum>
  <w:abstractNum w:abstractNumId="11">
    <w:nsid w:val="5FBF5A8B"/>
    <w:multiLevelType w:val="multilevel"/>
    <w:tmpl w:val="5FBF5A8B"/>
    <w:lvl w:ilvl="0" w:tentative="0">
      <w:start w:val="1"/>
      <w:numFmt w:val="decimal"/>
      <w:lvlText w:val="5.%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76060810"/>
    <w:multiLevelType w:val="multilevel"/>
    <w:tmpl w:val="76060810"/>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1"/>
  </w:num>
  <w:num w:numId="2">
    <w:abstractNumId w:val="4"/>
  </w:num>
  <w:num w:numId="3">
    <w:abstractNumId w:val="5"/>
  </w:num>
  <w:num w:numId="4">
    <w:abstractNumId w:val="2"/>
  </w:num>
  <w:num w:numId="5">
    <w:abstractNumId w:val="0"/>
  </w:num>
  <w:num w:numId="6">
    <w:abstractNumId w:val="3"/>
  </w:num>
  <w:num w:numId="7">
    <w:abstractNumId w:val="12"/>
  </w:num>
  <w:num w:numId="8">
    <w:abstractNumId w:val="10"/>
  </w:num>
  <w:num w:numId="9">
    <w:abstractNumId w:val="8"/>
  </w:num>
  <w:num w:numId="10">
    <w:abstractNumId w:val="11"/>
  </w:num>
  <w:num w:numId="11">
    <w:abstractNumId w:val="7"/>
  </w:num>
  <w:num w:numId="12">
    <w:abstractNumId w:val="6"/>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bordersDoNotSurroundHeader w:val="0"/>
  <w:bordersDoNotSurroundFooter w:val="0"/>
  <w:documentProtection w:enforcement="0"/>
  <w:defaultTabStop w:val="720"/>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1517F"/>
    <w:rsid w:val="00034616"/>
    <w:rsid w:val="0006063C"/>
    <w:rsid w:val="000A2F64"/>
    <w:rsid w:val="00113C7C"/>
    <w:rsid w:val="0015074B"/>
    <w:rsid w:val="0021321C"/>
    <w:rsid w:val="002248FE"/>
    <w:rsid w:val="00285F3E"/>
    <w:rsid w:val="0029639D"/>
    <w:rsid w:val="0029700D"/>
    <w:rsid w:val="002F67DC"/>
    <w:rsid w:val="00326F90"/>
    <w:rsid w:val="003A2366"/>
    <w:rsid w:val="003A28ED"/>
    <w:rsid w:val="003B4846"/>
    <w:rsid w:val="003F2225"/>
    <w:rsid w:val="00414346"/>
    <w:rsid w:val="00440DAF"/>
    <w:rsid w:val="00464807"/>
    <w:rsid w:val="00546FE1"/>
    <w:rsid w:val="00591A85"/>
    <w:rsid w:val="0059382C"/>
    <w:rsid w:val="005A1EF4"/>
    <w:rsid w:val="00610148"/>
    <w:rsid w:val="00694ADD"/>
    <w:rsid w:val="00695874"/>
    <w:rsid w:val="006C08B4"/>
    <w:rsid w:val="006F2490"/>
    <w:rsid w:val="00752D0B"/>
    <w:rsid w:val="00776458"/>
    <w:rsid w:val="007D1684"/>
    <w:rsid w:val="0087390C"/>
    <w:rsid w:val="008D43DB"/>
    <w:rsid w:val="00904300"/>
    <w:rsid w:val="009556B8"/>
    <w:rsid w:val="009631D0"/>
    <w:rsid w:val="00975A55"/>
    <w:rsid w:val="00A17D5B"/>
    <w:rsid w:val="00A33F77"/>
    <w:rsid w:val="00A82304"/>
    <w:rsid w:val="00AA1D8D"/>
    <w:rsid w:val="00B31D0F"/>
    <w:rsid w:val="00B47730"/>
    <w:rsid w:val="00B912F9"/>
    <w:rsid w:val="00BC4720"/>
    <w:rsid w:val="00C86815"/>
    <w:rsid w:val="00CB0664"/>
    <w:rsid w:val="00CD1910"/>
    <w:rsid w:val="00CD758D"/>
    <w:rsid w:val="00DE258E"/>
    <w:rsid w:val="00E11EE6"/>
    <w:rsid w:val="00E414C9"/>
    <w:rsid w:val="00EC0892"/>
    <w:rsid w:val="00ED041B"/>
    <w:rsid w:val="00F14F2C"/>
    <w:rsid w:val="00F204CB"/>
    <w:rsid w:val="00F46131"/>
    <w:rsid w:val="00F5518D"/>
    <w:rsid w:val="00F94F17"/>
    <w:rsid w:val="00FC693F"/>
    <w:rsid w:val="00FF6571"/>
    <w:rsid w:val="09727371"/>
    <w:rsid w:val="20445A53"/>
    <w:rsid w:val="23830392"/>
    <w:rsid w:val="309F11B3"/>
    <w:rsid w:val="3DE364D4"/>
    <w:rsid w:val="58175C92"/>
    <w:rsid w:val="75737BA5"/>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qFormat="1" w:unhideWhenUsed="0" w:uiPriority="66" w:semiHidden="0" w:name="Medium List 2"/>
    <w:lsdException w:qFormat="1" w:unhideWhenUsed="0" w:uiPriority="67" w:semiHidden="0" w:name="Medium Grid 1"/>
    <w:lsdException w:qFormat="1" w:unhideWhenUsed="0" w:uiPriority="68" w:semiHidden="0" w:name="Medium Grid 2"/>
    <w:lsdException w:qFormat="1" w:unhideWhenUsed="0" w:uiPriority="69" w:semiHidden="0" w:name="Medium Grid 3"/>
    <w:lsdException w:qFormat="1" w:unhideWhenUsed="0" w:uiPriority="70" w:semiHidden="0" w:name="Dark List"/>
    <w:lsdException w:qFormat="1" w:unhideWhenUsed="0" w:uiPriority="71" w:semiHidden="0" w:name="Colorful Shading"/>
    <w:lsdException w:qFormat="1" w:unhideWhenUsed="0" w:uiPriority="72" w:semiHidden="0" w:name="Colorful List"/>
    <w:lsdException w:qFormat="1"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qFormat="1" w:unhideWhenUsed="0" w:uiPriority="67" w:semiHidden="0" w:name="Medium Grid 1 Accent 1"/>
    <w:lsdException w:qFormat="1" w:unhideWhenUsed="0" w:uiPriority="68" w:semiHidden="0" w:name="Medium Grid 2 Accent 1"/>
    <w:lsdException w:qFormat="1" w:unhideWhenUsed="0" w:uiPriority="69" w:semiHidden="0" w:name="Medium Grid 3 Accent 1"/>
    <w:lsdException w:qFormat="1" w:unhideWhenUsed="0" w:uiPriority="70" w:semiHidden="0" w:name="Dark List Accent 1"/>
    <w:lsdException w:qFormat="1" w:unhideWhenUsed="0" w:uiPriority="71" w:semiHidden="0" w:name="Colorful Shading Accent 1"/>
    <w:lsdException w:qFormat="1"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qFormat="1" w:unhideWhenUsed="0" w:uiPriority="63" w:semiHidden="0" w:name="Medium Shading 1 Accent 3"/>
    <w:lsdException w:qFormat="1" w:unhideWhenUsed="0" w:uiPriority="64" w:semiHidden="0" w:name="Medium Shading 2 Accent 3"/>
    <w:lsdException w:qFormat="1" w:unhideWhenUsed="0" w:uiPriority="65" w:semiHidden="0" w:name="Medium List 1 Accent 3"/>
    <w:lsdException w:qFormat="1" w:unhideWhenUsed="0" w:uiPriority="66" w:semiHidden="0" w:name="Medium List 2 Accent 3"/>
    <w:lsdException w:qFormat="1" w:unhideWhenUsed="0" w:uiPriority="67" w:semiHidden="0" w:name="Medium Grid 1 Accent 3"/>
    <w:lsdException w:qFormat="1" w:unhideWhenUsed="0" w:uiPriority="68" w:semiHidden="0" w:name="Medium Grid 2 Accent 3"/>
    <w:lsdException w:qFormat="1"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qFormat="1"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qFormat="1"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qFormat="1" w:unhideWhenUsed="0" w:uiPriority="72" w:semiHidden="0" w:name="Colorful List Accent 5"/>
    <w:lsdException w:qFormat="1"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qFormat="1"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qFormat="1" w:unhideWhenUsed="0" w:uiPriority="71" w:semiHidden="0" w:name="Colorful Shading Accent 6"/>
    <w:lsdException w:qFormat="1"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45"/>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46"/>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7"/>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7"/>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8"/>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9"/>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60"/>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61"/>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62"/>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6">
    <w:name w:val="Default Paragraph Font"/>
    <w:semiHidden/>
    <w:unhideWhenUsed/>
    <w:qFormat/>
    <w:uiPriority w:val="1"/>
  </w:style>
  <w:style w:type="table" w:default="1" w:styleId="36">
    <w:name w:val="Normal Table"/>
    <w:semiHidden/>
    <w:unhideWhenUsed/>
    <w:uiPriority w:val="99"/>
    <w:tblPr>
      <w:tblCellMar>
        <w:top w:w="0" w:type="dxa"/>
        <w:left w:w="108" w:type="dxa"/>
        <w:bottom w:w="0" w:type="dxa"/>
        <w:right w:w="108" w:type="dxa"/>
      </w:tblCellMar>
    </w:tblPr>
  </w:style>
  <w:style w:type="paragraph" w:styleId="2">
    <w:name w:val="macro"/>
    <w:link w:val="154"/>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lang w:val="en-US" w:eastAsia="en-US" w:bidi="ar-SA"/>
    </w:rPr>
  </w:style>
  <w:style w:type="paragraph" w:styleId="12">
    <w:name w:val="List 3"/>
    <w:basedOn w:val="1"/>
    <w:unhideWhenUsed/>
    <w:qFormat/>
    <w:uiPriority w:val="99"/>
    <w:pPr>
      <w:ind w:left="1080" w:hanging="360"/>
      <w:contextualSpacing/>
    </w:pPr>
  </w:style>
  <w:style w:type="paragraph" w:styleId="13">
    <w:name w:val="List Number 2"/>
    <w:basedOn w:val="1"/>
    <w:unhideWhenUsed/>
    <w:qFormat/>
    <w:uiPriority w:val="99"/>
    <w:pPr>
      <w:numPr>
        <w:ilvl w:val="0"/>
        <w:numId w:val="1"/>
      </w:numPr>
      <w:contextualSpacing/>
    </w:pPr>
  </w:style>
  <w:style w:type="paragraph" w:styleId="14">
    <w:name w:val="List Number"/>
    <w:basedOn w:val="1"/>
    <w:unhideWhenUsed/>
    <w:qFormat/>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style>
  <w:style w:type="paragraph" w:styleId="17">
    <w:name w:val="annotation text"/>
    <w:basedOn w:val="1"/>
    <w:link w:val="172"/>
    <w:unhideWhenUsed/>
    <w:qFormat/>
    <w:uiPriority w:val="99"/>
    <w:pPr>
      <w:spacing w:line="240" w:lineRule="auto"/>
    </w:pPr>
    <w:rPr>
      <w:sz w:val="20"/>
      <w:szCs w:val="20"/>
    </w:rPr>
  </w:style>
  <w:style w:type="paragraph" w:styleId="18">
    <w:name w:val="Body Text 3"/>
    <w:basedOn w:val="1"/>
    <w:link w:val="153"/>
    <w:unhideWhenUsed/>
    <w:qFormat/>
    <w:uiPriority w:val="99"/>
    <w:pPr>
      <w:spacing w:after="120"/>
    </w:pPr>
    <w:rPr>
      <w:sz w:val="16"/>
      <w:szCs w:val="16"/>
    </w:rPr>
  </w:style>
  <w:style w:type="paragraph" w:styleId="19">
    <w:name w:val="List Bullet 3"/>
    <w:basedOn w:val="1"/>
    <w:unhideWhenUsed/>
    <w:qFormat/>
    <w:uiPriority w:val="99"/>
    <w:pPr>
      <w:numPr>
        <w:ilvl w:val="0"/>
        <w:numId w:val="4"/>
      </w:numPr>
      <w:contextualSpacing/>
    </w:pPr>
  </w:style>
  <w:style w:type="paragraph" w:styleId="20">
    <w:name w:val="Body Text"/>
    <w:basedOn w:val="1"/>
    <w:link w:val="151"/>
    <w:unhideWhenUsed/>
    <w:qFormat/>
    <w:uiPriority w:val="99"/>
    <w:pPr>
      <w:spacing w:after="120"/>
    </w:pPr>
  </w:style>
  <w:style w:type="paragraph" w:styleId="21">
    <w:name w:val="List Number 3"/>
    <w:basedOn w:val="1"/>
    <w:unhideWhenUsed/>
    <w:qFormat/>
    <w:uiPriority w:val="99"/>
    <w:pPr>
      <w:numPr>
        <w:ilvl w:val="0"/>
        <w:numId w:val="5"/>
      </w:numPr>
      <w:contextualSpacing/>
    </w:pPr>
  </w:style>
  <w:style w:type="paragraph" w:styleId="22">
    <w:name w:val="List 2"/>
    <w:basedOn w:val="1"/>
    <w:unhideWhenUsed/>
    <w:qFormat/>
    <w:uiPriority w:val="99"/>
    <w:pPr>
      <w:ind w:left="720" w:hanging="360"/>
      <w:contextualSpacing/>
    </w:pPr>
  </w:style>
  <w:style w:type="paragraph" w:styleId="23">
    <w:name w:val="List Continue"/>
    <w:basedOn w:val="1"/>
    <w:unhideWhenUsed/>
    <w:qFormat/>
    <w:uiPriority w:val="99"/>
    <w:pPr>
      <w:spacing w:after="120"/>
      <w:ind w:left="360"/>
      <w:contextualSpacing/>
    </w:pPr>
  </w:style>
  <w:style w:type="paragraph" w:styleId="24">
    <w:name w:val="List Bullet 2"/>
    <w:basedOn w:val="1"/>
    <w:unhideWhenUsed/>
    <w:qFormat/>
    <w:uiPriority w:val="99"/>
    <w:pPr>
      <w:numPr>
        <w:ilvl w:val="0"/>
        <w:numId w:val="6"/>
      </w:numPr>
      <w:contextualSpacing/>
    </w:pPr>
  </w:style>
  <w:style w:type="paragraph" w:styleId="25">
    <w:name w:val="footer"/>
    <w:basedOn w:val="1"/>
    <w:link w:val="143"/>
    <w:unhideWhenUsed/>
    <w:qFormat/>
    <w:uiPriority w:val="99"/>
    <w:pPr>
      <w:tabs>
        <w:tab w:val="center" w:pos="4680"/>
        <w:tab w:val="right" w:pos="9360"/>
      </w:tabs>
      <w:spacing w:after="0" w:line="240" w:lineRule="auto"/>
    </w:pPr>
  </w:style>
  <w:style w:type="paragraph" w:styleId="26">
    <w:name w:val="header"/>
    <w:basedOn w:val="1"/>
    <w:link w:val="142"/>
    <w:unhideWhenUsed/>
    <w:qFormat/>
    <w:uiPriority w:val="99"/>
    <w:pPr>
      <w:tabs>
        <w:tab w:val="center" w:pos="4680"/>
        <w:tab w:val="right" w:pos="9360"/>
      </w:tabs>
      <w:spacing w:after="0" w:line="240" w:lineRule="auto"/>
    </w:pPr>
  </w:style>
  <w:style w:type="paragraph" w:styleId="27">
    <w:name w:val="Subtitle"/>
    <w:basedOn w:val="1"/>
    <w:next w:val="1"/>
    <w:link w:val="149"/>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8">
    <w:name w:val="List"/>
    <w:basedOn w:val="1"/>
    <w:unhideWhenUsed/>
    <w:qFormat/>
    <w:uiPriority w:val="99"/>
    <w:pPr>
      <w:ind w:left="360" w:hanging="360"/>
      <w:contextualSpacing/>
    </w:pPr>
  </w:style>
  <w:style w:type="paragraph" w:styleId="29">
    <w:name w:val="Body Text 2"/>
    <w:basedOn w:val="1"/>
    <w:link w:val="152"/>
    <w:unhideWhenUsed/>
    <w:qFormat/>
    <w:uiPriority w:val="99"/>
    <w:pPr>
      <w:spacing w:after="120" w:line="480" w:lineRule="auto"/>
    </w:pPr>
  </w:style>
  <w:style w:type="paragraph" w:styleId="30">
    <w:name w:val="List Continue 2"/>
    <w:basedOn w:val="1"/>
    <w:unhideWhenUsed/>
    <w:qFormat/>
    <w:uiPriority w:val="99"/>
    <w:pPr>
      <w:spacing w:after="120"/>
      <w:ind w:left="720"/>
      <w:contextualSpacing/>
    </w:pPr>
  </w:style>
  <w:style w:type="paragraph" w:styleId="31">
    <w:name w:val="HTML Preformatted"/>
    <w:basedOn w:val="1"/>
    <w:link w:val="176"/>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eastAsia="Times New Roman" w:cs="Courier New"/>
      <w:sz w:val="20"/>
      <w:szCs w:val="20"/>
      <w:lang w:val="de-DE" w:eastAsia="zh-CN"/>
    </w:rPr>
  </w:style>
  <w:style w:type="paragraph" w:styleId="32">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val="de-DE" w:eastAsia="zh-CN"/>
    </w:rPr>
  </w:style>
  <w:style w:type="paragraph" w:styleId="33">
    <w:name w:val="List Continue 3"/>
    <w:basedOn w:val="1"/>
    <w:unhideWhenUsed/>
    <w:qFormat/>
    <w:uiPriority w:val="99"/>
    <w:pPr>
      <w:spacing w:after="120"/>
      <w:ind w:left="1080"/>
      <w:contextualSpacing/>
    </w:pPr>
  </w:style>
  <w:style w:type="paragraph" w:styleId="34">
    <w:name w:val="Title"/>
    <w:basedOn w:val="1"/>
    <w:next w:val="1"/>
    <w:link w:val="148"/>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paragraph" w:styleId="35">
    <w:name w:val="annotation subject"/>
    <w:basedOn w:val="17"/>
    <w:next w:val="17"/>
    <w:link w:val="173"/>
    <w:semiHidden/>
    <w:unhideWhenUsed/>
    <w:qFormat/>
    <w:uiPriority w:val="99"/>
    <w:rPr>
      <w:b/>
      <w:bCs/>
    </w:rPr>
  </w:style>
  <w:style w:type="table" w:styleId="37">
    <w:name w:val="Table Grid"/>
    <w:basedOn w:val="3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8">
    <w:name w:val="Light Shading"/>
    <w:basedOn w:val="36"/>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9">
    <w:name w:val="Light Shading Accent 1"/>
    <w:basedOn w:val="36"/>
    <w:qFormat/>
    <w:uiPriority w:val="60"/>
    <w:rPr>
      <w:color w:val="376092"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40">
    <w:name w:val="Light Shading Accent 2"/>
    <w:basedOn w:val="36"/>
    <w:qFormat/>
    <w:uiPriority w:val="60"/>
    <w:rPr>
      <w:color w:val="953735"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41">
    <w:name w:val="Light Shading Accent 3"/>
    <w:basedOn w:val="36"/>
    <w:qFormat/>
    <w:uiPriority w:val="60"/>
    <w:rPr>
      <w:color w:val="77933C" w:themeColor="accent3" w:themeShade="BF"/>
    </w:rPr>
    <w:tblPr>
      <w:tblBorders>
        <w:top w:val="single" w:color="9BBB59" w:themeColor="accent3" w:sz="8" w:space="0"/>
        <w:bottom w:val="single" w:color="9BBB59" w:themeColor="accent3" w:sz="8" w:space="0"/>
      </w:tblBorders>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42">
    <w:name w:val="Light Shading Accent 4"/>
    <w:basedOn w:val="36"/>
    <w:qFormat/>
    <w:uiPriority w:val="60"/>
    <w:rPr>
      <w:color w:val="604A7B" w:themeColor="accent4" w:themeShade="BF"/>
    </w:rPr>
    <w:tblPr>
      <w:tblBorders>
        <w:top w:val="single" w:color="8064A2" w:themeColor="accent4" w:sz="8" w:space="0"/>
        <w:bottom w:val="single" w:color="8064A2" w:themeColor="accent4" w:sz="8" w:space="0"/>
      </w:tblBorders>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43">
    <w:name w:val="Light Shading Accent 5"/>
    <w:basedOn w:val="36"/>
    <w:qFormat/>
    <w:uiPriority w:val="60"/>
    <w:rPr>
      <w:color w:val="31859C" w:themeColor="accent5" w:themeShade="BF"/>
    </w:rPr>
    <w:tblPr>
      <w:tblBorders>
        <w:top w:val="single" w:color="4BACC6" w:themeColor="accent5" w:sz="8" w:space="0"/>
        <w:bottom w:val="single" w:color="4BACC6" w:themeColor="accent5" w:sz="8" w:space="0"/>
      </w:tblBorders>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4">
    <w:name w:val="Light Shading Accent 6"/>
    <w:basedOn w:val="36"/>
    <w:qFormat/>
    <w:uiPriority w:val="60"/>
    <w:rPr>
      <w:color w:val="E46C0A" w:themeColor="accent6" w:themeShade="BF"/>
    </w:rPr>
    <w:tblPr>
      <w:tblBorders>
        <w:top w:val="single" w:color="F79646" w:themeColor="accent6" w:sz="8" w:space="0"/>
        <w:bottom w:val="single" w:color="F79646" w:themeColor="accent6" w:sz="8" w:space="0"/>
      </w:tblBorders>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5">
    <w:name w:val="Light List"/>
    <w:basedOn w:val="36"/>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6">
    <w:name w:val="Light List Accent 1"/>
    <w:basedOn w:val="36"/>
    <w:qFormat/>
    <w:uiPriority w:val="61"/>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7">
    <w:name w:val="Light List Accent 2"/>
    <w:basedOn w:val="36"/>
    <w:qFormat/>
    <w:uiPriority w:val="61"/>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8">
    <w:name w:val="Light List Accent 3"/>
    <w:basedOn w:val="36"/>
    <w:qFormat/>
    <w:uiPriority w:val="61"/>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9">
    <w:name w:val="Light List Accent 4"/>
    <w:basedOn w:val="36"/>
    <w:qFormat/>
    <w:uiPriority w:val="61"/>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50">
    <w:name w:val="Light List Accent 5"/>
    <w:basedOn w:val="36"/>
    <w:qFormat/>
    <w:uiPriority w:val="61"/>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51">
    <w:name w:val="Light List Accent 6"/>
    <w:basedOn w:val="36"/>
    <w:qFormat/>
    <w:uiPriority w:val="61"/>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52">
    <w:name w:val="Light Grid"/>
    <w:basedOn w:val="36"/>
    <w:qFormat/>
    <w:uiPriority w:val="62"/>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53">
    <w:name w:val="Light Grid Accent 1"/>
    <w:basedOn w:val="36"/>
    <w:qFormat/>
    <w:uiPriority w:val="62"/>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4">
    <w:name w:val="Light Grid Accent 2"/>
    <w:basedOn w:val="36"/>
    <w:qFormat/>
    <w:uiPriority w:val="62"/>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5">
    <w:name w:val="Light Grid Accent 3"/>
    <w:basedOn w:val="36"/>
    <w:qFormat/>
    <w:uiPriority w:val="62"/>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6">
    <w:name w:val="Light Grid Accent 4"/>
    <w:basedOn w:val="36"/>
    <w:qFormat/>
    <w:uiPriority w:val="62"/>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7">
    <w:name w:val="Light Grid Accent 5"/>
    <w:basedOn w:val="36"/>
    <w:qFormat/>
    <w:uiPriority w:val="62"/>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8">
    <w:name w:val="Light Grid Accent 6"/>
    <w:basedOn w:val="36"/>
    <w:qFormat/>
    <w:uiPriority w:val="62"/>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9">
    <w:name w:val="Medium Shading 1"/>
    <w:basedOn w:val="36"/>
    <w:qFormat/>
    <w:uiPriority w:val="63"/>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60">
    <w:name w:val="Medium Shading 1 Accent 1"/>
    <w:basedOn w:val="36"/>
    <w:qFormat/>
    <w:uiPriority w:val="63"/>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61">
    <w:name w:val="Medium Shading 1 Accent 2"/>
    <w:basedOn w:val="36"/>
    <w:qFormat/>
    <w:uiPriority w:val="63"/>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62">
    <w:name w:val="Medium Shading 1 Accent 3"/>
    <w:basedOn w:val="36"/>
    <w:qFormat/>
    <w:uiPriority w:val="63"/>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63">
    <w:name w:val="Medium Shading 1 Accent 4"/>
    <w:basedOn w:val="36"/>
    <w:qFormat/>
    <w:uiPriority w:val="63"/>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4">
    <w:name w:val="Medium Shading 1 Accent 5"/>
    <w:basedOn w:val="36"/>
    <w:qFormat/>
    <w:uiPriority w:val="63"/>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5">
    <w:name w:val="Medium Shading 1 Accent 6"/>
    <w:basedOn w:val="36"/>
    <w:qFormat/>
    <w:uiPriority w:val="63"/>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6">
    <w:name w:val="Medium Shading 2"/>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1"/>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2"/>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Shading 2 Accent 3"/>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0">
    <w:name w:val="Medium Shading 2 Accent 4"/>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1">
    <w:name w:val="Medium Shading 2 Accent 5"/>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2">
    <w:name w:val="Medium Shading 2 Accent 6"/>
    <w:basedOn w:val="36"/>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73">
    <w:name w:val="Medium List 1"/>
    <w:basedOn w:val="36"/>
    <w:qFormat/>
    <w:uiPriority w:val="65"/>
    <w:rPr>
      <w:color w:val="000000" w:themeColor="text1"/>
      <w14:textFill>
        <w14:solidFill>
          <w14:schemeClr w14:val="tx1"/>
        </w14:solidFill>
      </w14:textFill>
    </w:rPr>
    <w:tblPr>
      <w:tblBorders>
        <w:top w:val="single" w:color="000000" w:themeColor="text1" w:sz="8" w:space="0"/>
        <w:bottom w:val="single" w:color="000000" w:themeColor="text1" w:sz="8" w:space="0"/>
      </w:tblBorders>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4">
    <w:name w:val="Medium List 1 Accent 1"/>
    <w:basedOn w:val="36"/>
    <w:qFormat/>
    <w:uiPriority w:val="65"/>
    <w:rPr>
      <w:color w:val="000000" w:themeColor="text1"/>
      <w14:textFill>
        <w14:solidFill>
          <w14:schemeClr w14:val="tx1"/>
        </w14:solidFill>
      </w14:textFill>
    </w:rPr>
    <w:tblPr>
      <w:tblBorders>
        <w:top w:val="single" w:color="4F81BD" w:themeColor="accent1" w:sz="8" w:space="0"/>
        <w:bottom w:val="single" w:color="4F81BD" w:themeColor="accent1" w:sz="8" w:space="0"/>
      </w:tblBorders>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5">
    <w:name w:val="Medium List 1 Accent 2"/>
    <w:basedOn w:val="36"/>
    <w:qFormat/>
    <w:uiPriority w:val="65"/>
    <w:rPr>
      <w:color w:val="000000" w:themeColor="text1"/>
      <w14:textFill>
        <w14:solidFill>
          <w14:schemeClr w14:val="tx1"/>
        </w14:solidFill>
      </w14:textFill>
    </w:rPr>
    <w:tblPr>
      <w:tblBorders>
        <w:top w:val="single" w:color="C0504D" w:themeColor="accent2" w:sz="8" w:space="0"/>
        <w:bottom w:val="single" w:color="C0504D" w:themeColor="accent2" w:sz="8" w:space="0"/>
      </w:tblBorders>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6">
    <w:name w:val="Medium List 1 Accent 3"/>
    <w:basedOn w:val="36"/>
    <w:qFormat/>
    <w:uiPriority w:val="65"/>
    <w:rPr>
      <w:color w:val="000000" w:themeColor="text1"/>
      <w14:textFill>
        <w14:solidFill>
          <w14:schemeClr w14:val="tx1"/>
        </w14:solidFill>
      </w14:textFill>
    </w:rPr>
    <w:tblPr>
      <w:tblBorders>
        <w:top w:val="single" w:color="9BBB59" w:themeColor="accent3" w:sz="8" w:space="0"/>
        <w:bottom w:val="single" w:color="9BBB59" w:themeColor="accent3" w:sz="8" w:space="0"/>
      </w:tblBorders>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7">
    <w:name w:val="Medium List 1 Accent 4"/>
    <w:basedOn w:val="36"/>
    <w:qFormat/>
    <w:uiPriority w:val="65"/>
    <w:rPr>
      <w:color w:val="000000" w:themeColor="text1"/>
      <w14:textFill>
        <w14:solidFill>
          <w14:schemeClr w14:val="tx1"/>
        </w14:solidFill>
      </w14:textFill>
    </w:rPr>
    <w:tblPr>
      <w:tblBorders>
        <w:top w:val="single" w:color="8064A2" w:themeColor="accent4" w:sz="8" w:space="0"/>
        <w:bottom w:val="single" w:color="8064A2" w:themeColor="accent4" w:sz="8" w:space="0"/>
      </w:tblBorders>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8">
    <w:name w:val="Medium List 1 Accent 5"/>
    <w:basedOn w:val="36"/>
    <w:qFormat/>
    <w:uiPriority w:val="65"/>
    <w:rPr>
      <w:color w:val="000000" w:themeColor="text1"/>
      <w14:textFill>
        <w14:solidFill>
          <w14:schemeClr w14:val="tx1"/>
        </w14:solidFill>
      </w14:textFill>
    </w:rPr>
    <w:tblPr>
      <w:tblBorders>
        <w:top w:val="single" w:color="4BACC6" w:themeColor="accent5" w:sz="8" w:space="0"/>
        <w:bottom w:val="single" w:color="4BACC6" w:themeColor="accent5" w:sz="8" w:space="0"/>
      </w:tblBorders>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9">
    <w:name w:val="Medium List 1 Accent 6"/>
    <w:basedOn w:val="36"/>
    <w:qFormat/>
    <w:uiPriority w:val="65"/>
    <w:rPr>
      <w:color w:val="000000" w:themeColor="text1"/>
      <w14:textFill>
        <w14:solidFill>
          <w14:schemeClr w14:val="tx1"/>
        </w14:solidFill>
      </w14:textFill>
    </w:rPr>
    <w:tblPr>
      <w:tblBorders>
        <w:top w:val="single" w:color="F79646" w:themeColor="accent6" w:sz="8" w:space="0"/>
        <w:bottom w:val="single" w:color="F79646" w:themeColor="accent6" w:sz="8" w:space="0"/>
      </w:tblBorders>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80">
    <w:name w:val="Medium List 2"/>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1"/>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2"/>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List 2 Accent 3"/>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4">
    <w:name w:val="Medium List 2 Accent 4"/>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5">
    <w:name w:val="Medium List 2 Accent 5"/>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6">
    <w:name w:val="Medium List 2 Accent 6"/>
    <w:basedOn w:val="36"/>
    <w:qFormat/>
    <w:uiPriority w:val="66"/>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7">
    <w:name w:val="Medium Grid 1"/>
    <w:basedOn w:val="36"/>
    <w:qFormat/>
    <w:uiPriority w:val="67"/>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8">
    <w:name w:val="Medium Grid 1 Accent 1"/>
    <w:basedOn w:val="36"/>
    <w:qFormat/>
    <w:uiPriority w:val="67"/>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9">
    <w:name w:val="Medium Grid 1 Accent 2"/>
    <w:basedOn w:val="36"/>
    <w:qFormat/>
    <w:uiPriority w:val="67"/>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90">
    <w:name w:val="Medium Grid 1 Accent 3"/>
    <w:basedOn w:val="36"/>
    <w:qFormat/>
    <w:uiPriority w:val="67"/>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91">
    <w:name w:val="Medium Grid 1 Accent 4"/>
    <w:basedOn w:val="36"/>
    <w:qFormat/>
    <w:uiPriority w:val="67"/>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92">
    <w:name w:val="Medium Grid 1 Accent 5"/>
    <w:basedOn w:val="36"/>
    <w:qFormat/>
    <w:uiPriority w:val="67"/>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93">
    <w:name w:val="Medium Grid 1 Accent 6"/>
    <w:basedOn w:val="36"/>
    <w:qFormat/>
    <w:uiPriority w:val="67"/>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4">
    <w:name w:val="Medium Grid 2"/>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5">
    <w:name w:val="Medium Grid 2 Accent 1"/>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6">
    <w:name w:val="Medium Grid 2 Accent 2"/>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7">
    <w:name w:val="Medium Grid 2 Accent 3"/>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8">
    <w:name w:val="Medium Grid 2 Accent 4"/>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9">
    <w:name w:val="Medium Grid 2 Accent 5"/>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100">
    <w:name w:val="Medium Grid 2 Accent 6"/>
    <w:basedOn w:val="36"/>
    <w:qFormat/>
    <w:uiPriority w:val="68"/>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101">
    <w:name w:val="Medium Grid 3"/>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102">
    <w:name w:val="Medium Grid 3 Accent 1"/>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103">
    <w:name w:val="Medium Grid 3 Accent 2"/>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4">
    <w:name w:val="Medium Grid 3 Accent 3"/>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5">
    <w:name w:val="Medium Grid 3 Accent 4"/>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6">
    <w:name w:val="Medium Grid 3 Accent 5"/>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7">
    <w:name w:val="Medium Grid 3 Accent 6"/>
    <w:basedOn w:val="36"/>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8">
    <w:name w:val="Dark List"/>
    <w:basedOn w:val="36"/>
    <w:qFormat/>
    <w:uiPriority w:val="70"/>
    <w:rPr>
      <w:color w:val="FFFFFF" w:themeColor="background1"/>
      <w14:textFill>
        <w14:solidFill>
          <w14:schemeClr w14:val="bg1"/>
        </w14:solidFill>
      </w14:textFill>
    </w:rPr>
    <w:tblPr>
      <w:tblStyleRowBandSize w:val="1"/>
      <w:tblStyleColBandSize w:val="1"/>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9">
    <w:name w:val="Dark List Accent 1"/>
    <w:basedOn w:val="36"/>
    <w:qFormat/>
    <w:uiPriority w:val="70"/>
    <w:rPr>
      <w:color w:val="FFFFFF" w:themeColor="background1"/>
      <w14:textFill>
        <w14:solidFill>
          <w14:schemeClr w14:val="bg1"/>
        </w14:solidFill>
      </w14:textFill>
    </w:rPr>
    <w:tblPr>
      <w:tblStyleRowBandSize w:val="1"/>
      <w:tblStyleColBandSize w:val="1"/>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10">
    <w:name w:val="Dark List Accent 2"/>
    <w:basedOn w:val="36"/>
    <w:qFormat/>
    <w:uiPriority w:val="70"/>
    <w:rPr>
      <w:color w:val="FFFFFF" w:themeColor="background1"/>
      <w14:textFill>
        <w14:solidFill>
          <w14:schemeClr w14:val="bg1"/>
        </w14:solidFill>
      </w14:textFill>
    </w:rPr>
    <w:tblPr>
      <w:tblStyleRowBandSize w:val="1"/>
      <w:tblStyleColBandSize w:val="1"/>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11">
    <w:name w:val="Dark List Accent 3"/>
    <w:basedOn w:val="36"/>
    <w:qFormat/>
    <w:uiPriority w:val="70"/>
    <w:rPr>
      <w:color w:val="FFFFFF" w:themeColor="background1"/>
      <w14:textFill>
        <w14:solidFill>
          <w14:schemeClr w14:val="bg1"/>
        </w14:solidFill>
      </w14:textFill>
    </w:rPr>
    <w:tblPr>
      <w:tblStyleRowBandSize w:val="1"/>
      <w:tblStyleColBandSize w:val="1"/>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12">
    <w:name w:val="Dark List Accent 4"/>
    <w:basedOn w:val="36"/>
    <w:qFormat/>
    <w:uiPriority w:val="70"/>
    <w:rPr>
      <w:color w:val="FFFFFF" w:themeColor="background1"/>
      <w14:textFill>
        <w14:solidFill>
          <w14:schemeClr w14:val="bg1"/>
        </w14:solidFill>
      </w14:textFill>
    </w:rPr>
    <w:tblPr>
      <w:tblStyleRowBandSize w:val="1"/>
      <w:tblStyleColBandSize w:val="1"/>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13">
    <w:name w:val="Dark List Accent 5"/>
    <w:basedOn w:val="36"/>
    <w:qFormat/>
    <w:uiPriority w:val="70"/>
    <w:rPr>
      <w:color w:val="FFFFFF" w:themeColor="background1"/>
      <w14:textFill>
        <w14:solidFill>
          <w14:schemeClr w14:val="bg1"/>
        </w14:solidFill>
      </w14:textFill>
    </w:rPr>
    <w:tblPr>
      <w:tblStyleRowBandSize w:val="1"/>
      <w:tblStyleColBandSize w:val="1"/>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4">
    <w:name w:val="Dark List Accent 6"/>
    <w:basedOn w:val="36"/>
    <w:qFormat/>
    <w:uiPriority w:val="70"/>
    <w:rPr>
      <w:color w:val="FFFFFF" w:themeColor="background1"/>
      <w14:textFill>
        <w14:solidFill>
          <w14:schemeClr w14:val="bg1"/>
        </w14:solidFill>
      </w14:textFill>
    </w:rPr>
    <w:tblPr>
      <w:tblStyleRowBandSize w:val="1"/>
      <w:tblStyleColBandSize w:val="1"/>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5">
    <w:name w:val="Colorful Shading"/>
    <w:basedOn w:val="36"/>
    <w:qFormat/>
    <w:uiPriority w:val="71"/>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1"/>
    <w:basedOn w:val="36"/>
    <w:qFormat/>
    <w:uiPriority w:val="71"/>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2"/>
    <w:basedOn w:val="36"/>
    <w:qFormat/>
    <w:uiPriority w:val="71"/>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Shading Accent 3"/>
    <w:basedOn w:val="36"/>
    <w:qFormat/>
    <w:uiPriority w:val="71"/>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9">
    <w:name w:val="Colorful Shading Accent 4"/>
    <w:basedOn w:val="36"/>
    <w:qFormat/>
    <w:uiPriority w:val="71"/>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0">
    <w:name w:val="Colorful Shading Accent 5"/>
    <w:basedOn w:val="36"/>
    <w:qFormat/>
    <w:uiPriority w:val="71"/>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1">
    <w:name w:val="Colorful Shading Accent 6"/>
    <w:basedOn w:val="36"/>
    <w:qFormat/>
    <w:uiPriority w:val="71"/>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22">
    <w:name w:val="Colorful List"/>
    <w:basedOn w:val="36"/>
    <w:qFormat/>
    <w:uiPriority w:val="72"/>
    <w:rPr>
      <w:color w:val="000000" w:themeColor="text1"/>
      <w14:textFill>
        <w14:solidFill>
          <w14:schemeClr w14:val="tx1"/>
        </w14:solidFill>
      </w14:textFill>
    </w:rPr>
    <w:tblPr>
      <w:tblStyleRowBandSize w:val="1"/>
      <w:tblStyleColBandSize w:val="1"/>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23">
    <w:name w:val="Colorful List Accent 1"/>
    <w:basedOn w:val="36"/>
    <w:qFormat/>
    <w:uiPriority w:val="72"/>
    <w:rPr>
      <w:color w:val="000000" w:themeColor="text1"/>
      <w14:textFill>
        <w14:solidFill>
          <w14:schemeClr w14:val="tx1"/>
        </w14:solidFill>
      </w14:textFill>
    </w:rPr>
    <w:tblPr>
      <w:tblStyleRowBandSize w:val="1"/>
      <w:tblStyleColBandSize w:val="1"/>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4">
    <w:name w:val="Colorful List Accent 2"/>
    <w:basedOn w:val="36"/>
    <w:qFormat/>
    <w:uiPriority w:val="72"/>
    <w:rPr>
      <w:color w:val="000000" w:themeColor="text1"/>
      <w14:textFill>
        <w14:solidFill>
          <w14:schemeClr w14:val="tx1"/>
        </w14:solidFill>
      </w14:textFill>
    </w:rPr>
    <w:tblPr>
      <w:tblStyleRowBandSize w:val="1"/>
      <w:tblStyleColBandSize w:val="1"/>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5">
    <w:name w:val="Colorful List Accent 3"/>
    <w:basedOn w:val="36"/>
    <w:qFormat/>
    <w:uiPriority w:val="72"/>
    <w:rPr>
      <w:color w:val="000000" w:themeColor="text1"/>
      <w14:textFill>
        <w14:solidFill>
          <w14:schemeClr w14:val="tx1"/>
        </w14:solidFill>
      </w14:textFill>
    </w:rPr>
    <w:tblPr>
      <w:tblStyleRowBandSize w:val="1"/>
      <w:tblStyleColBandSize w:val="1"/>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6">
    <w:name w:val="Colorful List Accent 4"/>
    <w:basedOn w:val="36"/>
    <w:qFormat/>
    <w:uiPriority w:val="72"/>
    <w:rPr>
      <w:color w:val="000000" w:themeColor="text1"/>
      <w14:textFill>
        <w14:solidFill>
          <w14:schemeClr w14:val="tx1"/>
        </w14:solidFill>
      </w14:textFill>
    </w:rPr>
    <w:tblPr>
      <w:tblStyleRowBandSize w:val="1"/>
      <w:tblStyleColBandSize w:val="1"/>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7">
    <w:name w:val="Colorful List Accent 5"/>
    <w:basedOn w:val="36"/>
    <w:qFormat/>
    <w:uiPriority w:val="72"/>
    <w:rPr>
      <w:color w:val="000000" w:themeColor="text1"/>
      <w14:textFill>
        <w14:solidFill>
          <w14:schemeClr w14:val="tx1"/>
        </w14:solidFill>
      </w14:textFill>
    </w:rPr>
    <w:tblPr>
      <w:tblStyleRowBandSize w:val="1"/>
      <w:tblStyleColBandSize w:val="1"/>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8">
    <w:name w:val="Colorful List Accent 6"/>
    <w:basedOn w:val="36"/>
    <w:qFormat/>
    <w:uiPriority w:val="72"/>
    <w:rPr>
      <w:color w:val="000000" w:themeColor="text1"/>
      <w14:textFill>
        <w14:solidFill>
          <w14:schemeClr w14:val="tx1"/>
        </w14:solidFill>
      </w14:textFill>
    </w:rPr>
    <w:tblPr>
      <w:tblStyleRowBandSize w:val="1"/>
      <w:tblStyleColBandSize w:val="1"/>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9">
    <w:name w:val="Colorful Grid"/>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30">
    <w:name w:val="Colorful Grid Accent 1"/>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31">
    <w:name w:val="Colorful Grid Accent 2"/>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32">
    <w:name w:val="Colorful Grid Accent 3"/>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33">
    <w:name w:val="Colorful Grid Accent 4"/>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4">
    <w:name w:val="Colorful Grid Accent 5"/>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5">
    <w:name w:val="Colorful Grid Accent 6"/>
    <w:basedOn w:val="36"/>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7">
    <w:name w:val="Strong"/>
    <w:basedOn w:val="136"/>
    <w:qFormat/>
    <w:uiPriority w:val="22"/>
    <w:rPr>
      <w:b/>
      <w:bCs/>
    </w:rPr>
  </w:style>
  <w:style w:type="character" w:styleId="138">
    <w:name w:val="FollowedHyperlink"/>
    <w:basedOn w:val="136"/>
    <w:semiHidden/>
    <w:unhideWhenUsed/>
    <w:qFormat/>
    <w:uiPriority w:val="99"/>
    <w:rPr>
      <w:color w:val="800080" w:themeColor="followedHyperlink"/>
      <w:u w:val="single"/>
      <w14:textFill>
        <w14:solidFill>
          <w14:schemeClr w14:val="folHlink"/>
        </w14:solidFill>
      </w14:textFill>
    </w:rPr>
  </w:style>
  <w:style w:type="character" w:styleId="139">
    <w:name w:val="Emphasis"/>
    <w:basedOn w:val="136"/>
    <w:qFormat/>
    <w:uiPriority w:val="20"/>
    <w:rPr>
      <w:i/>
      <w:iCs/>
    </w:rPr>
  </w:style>
  <w:style w:type="character" w:styleId="140">
    <w:name w:val="Hyperlink"/>
    <w:basedOn w:val="136"/>
    <w:unhideWhenUsed/>
    <w:qFormat/>
    <w:uiPriority w:val="99"/>
    <w:rPr>
      <w:color w:val="0000FF" w:themeColor="hyperlink"/>
      <w:u w:val="single"/>
      <w14:textFill>
        <w14:solidFill>
          <w14:schemeClr w14:val="hlink"/>
        </w14:solidFill>
      </w14:textFill>
    </w:rPr>
  </w:style>
  <w:style w:type="character" w:styleId="141">
    <w:name w:val="annotation reference"/>
    <w:basedOn w:val="136"/>
    <w:semiHidden/>
    <w:unhideWhenUsed/>
    <w:qFormat/>
    <w:uiPriority w:val="99"/>
    <w:rPr>
      <w:sz w:val="16"/>
      <w:szCs w:val="16"/>
    </w:rPr>
  </w:style>
  <w:style w:type="character" w:customStyle="1" w:styleId="142">
    <w:name w:val="页眉 字符"/>
    <w:basedOn w:val="136"/>
    <w:link w:val="26"/>
    <w:qFormat/>
    <w:uiPriority w:val="99"/>
  </w:style>
  <w:style w:type="character" w:customStyle="1" w:styleId="143">
    <w:name w:val="页脚 字符"/>
    <w:basedOn w:val="136"/>
    <w:link w:val="25"/>
    <w:qFormat/>
    <w:uiPriority w:val="99"/>
  </w:style>
  <w:style w:type="paragraph" w:styleId="144">
    <w:name w:val="No Spacing"/>
    <w:qFormat/>
    <w:uiPriority w:val="1"/>
    <w:rPr>
      <w:rFonts w:asciiTheme="minorHAnsi" w:hAnsiTheme="minorHAnsi" w:eastAsiaTheme="minorEastAsia" w:cstheme="minorBidi"/>
      <w:sz w:val="22"/>
      <w:szCs w:val="22"/>
      <w:lang w:val="en-US" w:eastAsia="en-US" w:bidi="ar-SA"/>
    </w:rPr>
  </w:style>
  <w:style w:type="character" w:customStyle="1" w:styleId="145">
    <w:name w:val="标题 1 字符"/>
    <w:basedOn w:val="136"/>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46">
    <w:name w:val="标题 2 字符"/>
    <w:basedOn w:val="136"/>
    <w:link w:val="4"/>
    <w:qFormat/>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7">
    <w:name w:val="标题 3 字符"/>
    <w:basedOn w:val="136"/>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8">
    <w:name w:val="标题 字符"/>
    <w:basedOn w:val="136"/>
    <w:link w:val="34"/>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9">
    <w:name w:val="副标题 字符"/>
    <w:basedOn w:val="136"/>
    <w:link w:val="27"/>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50">
    <w:name w:val="List Paragraph"/>
    <w:basedOn w:val="1"/>
    <w:qFormat/>
    <w:uiPriority w:val="34"/>
    <w:pPr>
      <w:ind w:left="720"/>
      <w:contextualSpacing/>
    </w:pPr>
  </w:style>
  <w:style w:type="character" w:customStyle="1" w:styleId="151">
    <w:name w:val="正文文本 字符"/>
    <w:basedOn w:val="136"/>
    <w:link w:val="20"/>
    <w:qFormat/>
    <w:uiPriority w:val="99"/>
  </w:style>
  <w:style w:type="character" w:customStyle="1" w:styleId="152">
    <w:name w:val="正文文本 2 字符"/>
    <w:basedOn w:val="136"/>
    <w:link w:val="29"/>
    <w:qFormat/>
    <w:uiPriority w:val="99"/>
  </w:style>
  <w:style w:type="character" w:customStyle="1" w:styleId="153">
    <w:name w:val="正文文本 3 字符"/>
    <w:basedOn w:val="136"/>
    <w:link w:val="18"/>
    <w:qFormat/>
    <w:uiPriority w:val="99"/>
    <w:rPr>
      <w:sz w:val="16"/>
      <w:szCs w:val="16"/>
    </w:rPr>
  </w:style>
  <w:style w:type="character" w:customStyle="1" w:styleId="154">
    <w:name w:val="宏文本 字符"/>
    <w:basedOn w:val="136"/>
    <w:link w:val="2"/>
    <w:qFormat/>
    <w:uiPriority w:val="99"/>
    <w:rPr>
      <w:rFonts w:ascii="Courier" w:hAnsi="Courier"/>
      <w:sz w:val="20"/>
      <w:szCs w:val="20"/>
    </w:rPr>
  </w:style>
  <w:style w:type="paragraph" w:styleId="155">
    <w:name w:val="Quote"/>
    <w:basedOn w:val="1"/>
    <w:next w:val="1"/>
    <w:link w:val="156"/>
    <w:qFormat/>
    <w:uiPriority w:val="29"/>
    <w:rPr>
      <w:i/>
      <w:iCs/>
      <w:color w:val="000000" w:themeColor="text1"/>
      <w14:textFill>
        <w14:solidFill>
          <w14:schemeClr w14:val="tx1"/>
        </w14:solidFill>
      </w14:textFill>
    </w:rPr>
  </w:style>
  <w:style w:type="character" w:customStyle="1" w:styleId="156">
    <w:name w:val="引用 字符"/>
    <w:basedOn w:val="136"/>
    <w:link w:val="155"/>
    <w:qFormat/>
    <w:uiPriority w:val="29"/>
    <w:rPr>
      <w:i/>
      <w:iCs/>
      <w:color w:val="000000" w:themeColor="text1"/>
      <w14:textFill>
        <w14:solidFill>
          <w14:schemeClr w14:val="tx1"/>
        </w14:solidFill>
      </w14:textFill>
    </w:rPr>
  </w:style>
  <w:style w:type="character" w:customStyle="1" w:styleId="157">
    <w:name w:val="标题 4 字符"/>
    <w:basedOn w:val="136"/>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8">
    <w:name w:val="标题 5 字符"/>
    <w:basedOn w:val="136"/>
    <w:link w:val="7"/>
    <w:semiHidden/>
    <w:qFormat/>
    <w:uiPriority w:val="9"/>
    <w:rPr>
      <w:rFonts w:asciiTheme="majorHAnsi" w:hAnsiTheme="majorHAnsi" w:eastAsiaTheme="majorEastAsia" w:cstheme="majorBidi"/>
      <w:color w:val="254061" w:themeColor="accent1" w:themeShade="80"/>
    </w:rPr>
  </w:style>
  <w:style w:type="character" w:customStyle="1" w:styleId="159">
    <w:name w:val="标题 6 字符"/>
    <w:basedOn w:val="136"/>
    <w:link w:val="8"/>
    <w:semiHidden/>
    <w:qFormat/>
    <w:uiPriority w:val="9"/>
    <w:rPr>
      <w:rFonts w:asciiTheme="majorHAnsi" w:hAnsiTheme="majorHAnsi" w:eastAsiaTheme="majorEastAsia" w:cstheme="majorBidi"/>
      <w:i/>
      <w:iCs/>
      <w:color w:val="254061" w:themeColor="accent1" w:themeShade="80"/>
    </w:rPr>
  </w:style>
  <w:style w:type="character" w:customStyle="1" w:styleId="160">
    <w:name w:val="标题 7 字符"/>
    <w:basedOn w:val="136"/>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61">
    <w:name w:val="标题 8 字符"/>
    <w:basedOn w:val="136"/>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62">
    <w:name w:val="标题 9 字符"/>
    <w:basedOn w:val="136"/>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63">
    <w:name w:val="Intense Quote"/>
    <w:basedOn w:val="1"/>
    <w:next w:val="1"/>
    <w:link w:val="164"/>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64">
    <w:name w:val="明显引用 字符"/>
    <w:basedOn w:val="136"/>
    <w:link w:val="163"/>
    <w:qFormat/>
    <w:uiPriority w:val="30"/>
    <w:rPr>
      <w:b/>
      <w:bCs/>
      <w:i/>
      <w:iCs/>
      <w:color w:val="4F81BD" w:themeColor="accent1"/>
      <w14:textFill>
        <w14:solidFill>
          <w14:schemeClr w14:val="accent1"/>
        </w14:solidFill>
      </w14:textFill>
    </w:rPr>
  </w:style>
  <w:style w:type="character" w:customStyle="1" w:styleId="165">
    <w:name w:val="不明显强调1"/>
    <w:basedOn w:val="136"/>
    <w:qFormat/>
    <w:uiPriority w:val="19"/>
    <w:rPr>
      <w:i/>
      <w:iCs/>
      <w:color w:val="808080" w:themeColor="text1" w:themeTint="80"/>
      <w14:textFill>
        <w14:solidFill>
          <w14:schemeClr w14:val="tx1">
            <w14:lumMod w14:val="50000"/>
            <w14:lumOff w14:val="50000"/>
          </w14:schemeClr>
        </w14:solidFill>
      </w14:textFill>
    </w:rPr>
  </w:style>
  <w:style w:type="character" w:customStyle="1" w:styleId="166">
    <w:name w:val="明显强调1"/>
    <w:basedOn w:val="136"/>
    <w:qFormat/>
    <w:uiPriority w:val="21"/>
    <w:rPr>
      <w:b/>
      <w:bCs/>
      <w:i/>
      <w:iCs/>
      <w:color w:val="4F81BD" w:themeColor="accent1"/>
      <w14:textFill>
        <w14:solidFill>
          <w14:schemeClr w14:val="accent1"/>
        </w14:solidFill>
      </w14:textFill>
    </w:rPr>
  </w:style>
  <w:style w:type="character" w:customStyle="1" w:styleId="167">
    <w:name w:val="不明显参考1"/>
    <w:basedOn w:val="136"/>
    <w:qFormat/>
    <w:uiPriority w:val="31"/>
    <w:rPr>
      <w:smallCaps/>
      <w:color w:val="C0504D" w:themeColor="accent2"/>
      <w:u w:val="single"/>
      <w14:textFill>
        <w14:solidFill>
          <w14:schemeClr w14:val="accent2"/>
        </w14:solidFill>
      </w14:textFill>
    </w:rPr>
  </w:style>
  <w:style w:type="character" w:customStyle="1" w:styleId="168">
    <w:name w:val="明显参考1"/>
    <w:basedOn w:val="136"/>
    <w:qFormat/>
    <w:uiPriority w:val="32"/>
    <w:rPr>
      <w:b/>
      <w:bCs/>
      <w:smallCaps/>
      <w:color w:val="C0504D" w:themeColor="accent2"/>
      <w:spacing w:val="5"/>
      <w:u w:val="single"/>
      <w14:textFill>
        <w14:solidFill>
          <w14:schemeClr w14:val="accent2"/>
        </w14:solidFill>
      </w14:textFill>
    </w:rPr>
  </w:style>
  <w:style w:type="character" w:customStyle="1" w:styleId="169">
    <w:name w:val="书籍标题1"/>
    <w:basedOn w:val="136"/>
    <w:qFormat/>
    <w:uiPriority w:val="33"/>
    <w:rPr>
      <w:b/>
      <w:bCs/>
      <w:smallCaps/>
      <w:spacing w:val="5"/>
    </w:rPr>
  </w:style>
  <w:style w:type="paragraph" w:customStyle="1" w:styleId="170">
    <w:name w:val="TOC 标题1"/>
    <w:basedOn w:val="3"/>
    <w:next w:val="1"/>
    <w:semiHidden/>
    <w:unhideWhenUsed/>
    <w:qFormat/>
    <w:uiPriority w:val="39"/>
    <w:pPr>
      <w:outlineLvl w:val="9"/>
    </w:pPr>
  </w:style>
  <w:style w:type="paragraph" w:customStyle="1" w:styleId="171">
    <w:name w:val="修订1"/>
    <w:hidden/>
    <w:semiHidden/>
    <w:qFormat/>
    <w:uiPriority w:val="99"/>
    <w:rPr>
      <w:rFonts w:asciiTheme="minorHAnsi" w:hAnsiTheme="minorHAnsi" w:eastAsiaTheme="minorEastAsia" w:cstheme="minorBidi"/>
      <w:sz w:val="22"/>
      <w:szCs w:val="22"/>
      <w:lang w:val="en-US" w:eastAsia="en-US" w:bidi="ar-SA"/>
    </w:rPr>
  </w:style>
  <w:style w:type="character" w:customStyle="1" w:styleId="172">
    <w:name w:val="批注文字 字符"/>
    <w:basedOn w:val="136"/>
    <w:link w:val="17"/>
    <w:qFormat/>
    <w:uiPriority w:val="99"/>
    <w:rPr>
      <w:sz w:val="20"/>
      <w:szCs w:val="20"/>
    </w:rPr>
  </w:style>
  <w:style w:type="character" w:customStyle="1" w:styleId="173">
    <w:name w:val="批注主题 字符"/>
    <w:basedOn w:val="172"/>
    <w:link w:val="35"/>
    <w:semiHidden/>
    <w:qFormat/>
    <w:uiPriority w:val="99"/>
    <w:rPr>
      <w:b/>
      <w:bCs/>
      <w:sz w:val="20"/>
      <w:szCs w:val="20"/>
    </w:rPr>
  </w:style>
  <w:style w:type="character" w:customStyle="1" w:styleId="174">
    <w:name w:val="w8qarf"/>
    <w:basedOn w:val="136"/>
    <w:qFormat/>
    <w:uiPriority w:val="0"/>
  </w:style>
  <w:style w:type="character" w:customStyle="1" w:styleId="175">
    <w:name w:val="lrzxr"/>
    <w:basedOn w:val="136"/>
    <w:qFormat/>
    <w:uiPriority w:val="0"/>
  </w:style>
  <w:style w:type="character" w:customStyle="1" w:styleId="176">
    <w:name w:val="HTML 预设格式 字符"/>
    <w:basedOn w:val="136"/>
    <w:link w:val="31"/>
    <w:qFormat/>
    <w:uiPriority w:val="99"/>
    <w:rPr>
      <w:rFonts w:ascii="Courier New" w:hAnsi="Courier New" w:eastAsia="Times New Roman" w:cs="Courier New"/>
      <w:sz w:val="20"/>
      <w:szCs w:val="20"/>
      <w:lang w:val="de-DE" w:eastAsia="zh-CN"/>
    </w:rPr>
  </w:style>
  <w:style w:type="character" w:customStyle="1" w:styleId="177">
    <w:name w:val="y2iqfc"/>
    <w:basedOn w:val="136"/>
    <w:qFormat/>
    <w:uiPriority w:val="0"/>
  </w:style>
  <w:style w:type="character" w:customStyle="1" w:styleId="178">
    <w:name w:val="未处理的提及1"/>
    <w:basedOn w:val="136"/>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Template>
  <Pages>6</Pages>
  <Words>2096</Words>
  <Characters>11890</Characters>
  <Lines>100</Lines>
  <Paragraphs>28</Paragraphs>
  <TotalTime>28</TotalTime>
  <ScaleCrop>false</ScaleCrop>
  <LinksUpToDate>false</LinksUpToDate>
  <CharactersWithSpaces>13922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2025-06-25T09:10:00Z</dcterms:created>
  <dc:creator>python-docx</dc:creator>
  <dc:description>generated by python-docx</dc:description>
  <cp:lastModifiedBy>Lynn</cp:lastModifiedBy>
  <dcterms:modified xsi:type="dcterms:W3CDTF">2025-10-14T01:13:55Z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1FDDA6A6C23F4307BBDB8D2732ED2754_13</vt:lpwstr>
  </property>
  <property fmtid="{D5CDD505-2E9C-101B-9397-08002B2CF9AE}" pid="4" name="KSOTemplateDocerSaveRecord">
    <vt:lpwstr>eyJoZGlkIjoiYTliNDg2ODY5MWMzMTE0ZTQ3YmFiNzhmZjkxNDMxN2EiLCJ1c2VySWQiOiI4MTQzMzQwMzYifQ==</vt:lpwstr>
  </property>
</Properties>
</file>